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DCEA8">
      <w:pPr>
        <w:jc w:val="center"/>
        <w:rPr>
          <w:rFonts w:hint="eastAsia"/>
          <w:sz w:val="44"/>
          <w:szCs w:val="44"/>
          <w:lang w:val="en-US" w:eastAsia="zh-CN"/>
        </w:rPr>
      </w:pPr>
    </w:p>
    <w:p w14:paraId="43C07745">
      <w:pPr>
        <w:jc w:val="center"/>
        <w:rPr>
          <w:rFonts w:hint="eastAsia"/>
          <w:sz w:val="48"/>
          <w:szCs w:val="48"/>
          <w:lang w:val="en-US" w:eastAsia="zh-CN"/>
        </w:rPr>
      </w:pPr>
      <w:r>
        <w:rPr>
          <w:rFonts w:hint="eastAsia"/>
          <w:sz w:val="48"/>
          <w:szCs w:val="48"/>
          <w:lang w:val="en-US" w:eastAsia="zh-CN"/>
        </w:rPr>
        <w:t>招采子系统中药配方颗粒交易管理操作手册</w:t>
      </w:r>
    </w:p>
    <w:p w14:paraId="4CD2B705">
      <w:pPr>
        <w:jc w:val="center"/>
        <w:rPr>
          <w:rFonts w:hint="eastAsia"/>
          <w:sz w:val="44"/>
          <w:szCs w:val="44"/>
          <w:lang w:val="en-US" w:eastAsia="zh-CN"/>
        </w:rPr>
      </w:pPr>
    </w:p>
    <w:p w14:paraId="386D8A8B">
      <w:pPr>
        <w:jc w:val="center"/>
        <w:rPr>
          <w:rFonts w:hint="default"/>
          <w:sz w:val="44"/>
          <w:szCs w:val="44"/>
          <w:lang w:val="en-US" w:eastAsia="zh-CN"/>
        </w:rPr>
      </w:pPr>
    </w:p>
    <w:p w14:paraId="2EEDA71B">
      <w:pPr>
        <w:jc w:val="center"/>
        <w:rPr>
          <w:rFonts w:hint="eastAsia"/>
          <w:sz w:val="36"/>
          <w:szCs w:val="36"/>
          <w:lang w:val="en-US" w:eastAsia="zh-CN"/>
        </w:rPr>
      </w:pPr>
      <w:r>
        <w:rPr>
          <w:rFonts w:hint="eastAsia"/>
          <w:sz w:val="36"/>
          <w:szCs w:val="36"/>
          <w:lang w:val="en-US" w:eastAsia="zh-CN"/>
        </w:rPr>
        <w:t>（配送企业端）</w:t>
      </w:r>
    </w:p>
    <w:p w14:paraId="62484444">
      <w:pPr>
        <w:jc w:val="center"/>
        <w:rPr>
          <w:rFonts w:hint="eastAsia"/>
          <w:sz w:val="36"/>
          <w:szCs w:val="36"/>
          <w:lang w:val="en-US" w:eastAsia="zh-CN"/>
        </w:rPr>
      </w:pPr>
    </w:p>
    <w:p w14:paraId="69B3EFBE">
      <w:pPr>
        <w:jc w:val="center"/>
        <w:rPr>
          <w:rFonts w:hint="eastAsia"/>
          <w:sz w:val="36"/>
          <w:szCs w:val="36"/>
          <w:lang w:val="en-US" w:eastAsia="zh-CN"/>
        </w:rPr>
      </w:pPr>
    </w:p>
    <w:p w14:paraId="4B50A05E">
      <w:pPr>
        <w:jc w:val="center"/>
        <w:rPr>
          <w:rFonts w:hint="eastAsia"/>
          <w:sz w:val="36"/>
          <w:szCs w:val="36"/>
          <w:lang w:val="en-US" w:eastAsia="zh-CN"/>
        </w:rPr>
      </w:pPr>
    </w:p>
    <w:p w14:paraId="4C3AF0A2">
      <w:pPr>
        <w:jc w:val="center"/>
        <w:rPr>
          <w:rFonts w:hint="eastAsia"/>
          <w:sz w:val="36"/>
          <w:szCs w:val="36"/>
          <w:lang w:val="en-US" w:eastAsia="zh-CN"/>
        </w:rPr>
      </w:pPr>
    </w:p>
    <w:p w14:paraId="10977613">
      <w:pPr>
        <w:jc w:val="center"/>
        <w:rPr>
          <w:rFonts w:hint="eastAsia"/>
          <w:sz w:val="36"/>
          <w:szCs w:val="36"/>
          <w:lang w:val="en-US" w:eastAsia="zh-CN"/>
        </w:rPr>
      </w:pPr>
    </w:p>
    <w:p w14:paraId="604E547D">
      <w:pPr>
        <w:jc w:val="center"/>
        <w:rPr>
          <w:rFonts w:hint="eastAsia"/>
          <w:sz w:val="36"/>
          <w:szCs w:val="36"/>
          <w:lang w:val="en-US" w:eastAsia="zh-CN"/>
        </w:rPr>
      </w:pPr>
    </w:p>
    <w:p w14:paraId="40B24990">
      <w:pPr>
        <w:jc w:val="center"/>
        <w:rPr>
          <w:rFonts w:hint="eastAsia"/>
          <w:sz w:val="36"/>
          <w:szCs w:val="36"/>
          <w:lang w:val="en-US" w:eastAsia="zh-CN"/>
        </w:rPr>
      </w:pPr>
    </w:p>
    <w:p w14:paraId="2F94B442">
      <w:pPr>
        <w:jc w:val="center"/>
        <w:rPr>
          <w:rFonts w:hint="eastAsia"/>
          <w:sz w:val="36"/>
          <w:szCs w:val="36"/>
          <w:lang w:val="en-US" w:eastAsia="zh-CN"/>
        </w:rPr>
      </w:pPr>
    </w:p>
    <w:p w14:paraId="0C0996D3">
      <w:pPr>
        <w:jc w:val="center"/>
        <w:rPr>
          <w:rFonts w:hint="eastAsia"/>
          <w:sz w:val="36"/>
          <w:szCs w:val="36"/>
          <w:lang w:val="en-US" w:eastAsia="zh-CN"/>
        </w:rPr>
      </w:pPr>
    </w:p>
    <w:p w14:paraId="0C5408FF">
      <w:pPr>
        <w:jc w:val="both"/>
        <w:rPr>
          <w:rFonts w:hint="eastAsia"/>
          <w:sz w:val="36"/>
          <w:szCs w:val="36"/>
          <w:lang w:val="en-US" w:eastAsia="zh-CN"/>
        </w:rPr>
      </w:pPr>
    </w:p>
    <w:p w14:paraId="0F3AB377">
      <w:pPr>
        <w:jc w:val="center"/>
        <w:rPr>
          <w:rFonts w:hint="eastAsia"/>
          <w:sz w:val="36"/>
          <w:szCs w:val="36"/>
          <w:lang w:val="en-US" w:eastAsia="zh-CN"/>
        </w:rPr>
      </w:pPr>
    </w:p>
    <w:p w14:paraId="496CD0E7">
      <w:pPr>
        <w:jc w:val="center"/>
        <w:rPr>
          <w:rFonts w:hint="eastAsia"/>
          <w:sz w:val="36"/>
          <w:szCs w:val="36"/>
          <w:lang w:val="en-US" w:eastAsia="zh-CN"/>
        </w:rPr>
      </w:pPr>
    </w:p>
    <w:p w14:paraId="7768F13E">
      <w:pPr>
        <w:jc w:val="center"/>
        <w:rPr>
          <w:rFonts w:hint="default"/>
          <w:sz w:val="36"/>
          <w:szCs w:val="36"/>
          <w:lang w:val="en-US" w:eastAsia="zh-CN"/>
        </w:rPr>
      </w:pPr>
      <w:r>
        <w:rPr>
          <w:rFonts w:hint="eastAsia"/>
          <w:sz w:val="36"/>
          <w:szCs w:val="36"/>
          <w:lang w:val="en-US" w:eastAsia="zh-CN"/>
        </w:rPr>
        <w:t>2024年11月13日</w:t>
      </w:r>
    </w:p>
    <w:p w14:paraId="39F1BB54">
      <w:pPr>
        <w:jc w:val="center"/>
        <w:rPr>
          <w:rFonts w:hint="eastAsia"/>
          <w:sz w:val="36"/>
          <w:szCs w:val="36"/>
          <w:lang w:val="en-US" w:eastAsia="zh-CN"/>
        </w:rPr>
      </w:pPr>
    </w:p>
    <w:p w14:paraId="4F33890A">
      <w:pPr>
        <w:jc w:val="both"/>
        <w:rPr>
          <w:rFonts w:hint="eastAsia"/>
          <w:sz w:val="36"/>
          <w:szCs w:val="36"/>
          <w:lang w:val="en-US" w:eastAsia="zh-CN"/>
        </w:rPr>
      </w:pPr>
    </w:p>
    <w:p w14:paraId="7273BC26">
      <w:pPr>
        <w:jc w:val="both"/>
        <w:rPr>
          <w:rFonts w:hint="eastAsia"/>
          <w:sz w:val="36"/>
          <w:szCs w:val="36"/>
          <w:lang w:val="en-US" w:eastAsia="zh-CN"/>
        </w:rPr>
        <w:sectPr>
          <w:pgSz w:w="11906" w:h="16838"/>
          <w:pgMar w:top="1440" w:right="1800" w:bottom="1440" w:left="1800" w:header="851" w:footer="992" w:gutter="0"/>
          <w:cols w:space="425" w:num="1"/>
          <w:docGrid w:type="lines" w:linePitch="312" w:charSpace="0"/>
        </w:sectPr>
      </w:pPr>
    </w:p>
    <w:p w14:paraId="7747D465">
      <w:pPr>
        <w:jc w:val="both"/>
        <w:rPr>
          <w:rFonts w:hint="eastAsia"/>
          <w:sz w:val="36"/>
          <w:szCs w:val="36"/>
          <w:lang w:val="en-US" w:eastAsia="zh-CN"/>
        </w:rPr>
      </w:pPr>
      <w:bookmarkStart w:id="16" w:name="_GoBack"/>
      <w:bookmarkEnd w:id="16"/>
    </w:p>
    <w:sdt>
      <w:sdtPr>
        <w:rPr>
          <w:rFonts w:hint="eastAsia" w:ascii="宋体" w:hAnsi="宋体" w:eastAsia="宋体" w:cs="宋体"/>
          <w:kern w:val="2"/>
          <w:sz w:val="44"/>
          <w:szCs w:val="44"/>
          <w:lang w:val="en-US" w:eastAsia="zh-CN" w:bidi="ar-SA"/>
        </w:rPr>
        <w:id w:val="391796160"/>
        <w15:color w:val="DBDBDB"/>
        <w:docPartObj>
          <w:docPartGallery w:val="Table of Contents"/>
          <w:docPartUnique/>
        </w:docPartObj>
      </w:sdtPr>
      <w:sdtEndPr>
        <w:rPr>
          <w:rFonts w:hint="eastAsia" w:asciiTheme="minorHAnsi" w:hAnsiTheme="minorHAnsi" w:eastAsiaTheme="minorEastAsia" w:cstheme="minorBidi"/>
          <w:kern w:val="2"/>
          <w:sz w:val="21"/>
          <w:szCs w:val="36"/>
          <w:lang w:val="en-US" w:eastAsia="zh-CN" w:bidi="ar-SA"/>
        </w:rPr>
      </w:sdtEndPr>
      <w:sdtContent>
        <w:p w14:paraId="49F35328">
          <w:pPr>
            <w:spacing w:before="0" w:beforeLines="0" w:after="0" w:afterLines="0" w:line="240" w:lineRule="auto"/>
            <w:ind w:left="0" w:leftChars="0" w:right="0" w:rightChars="0" w:firstLine="0" w:firstLineChars="0"/>
            <w:jc w:val="center"/>
            <w:rPr>
              <w:rFonts w:hint="eastAsia" w:ascii="宋体" w:hAnsi="宋体" w:eastAsia="宋体" w:cs="宋体"/>
              <w:sz w:val="44"/>
              <w:szCs w:val="44"/>
            </w:rPr>
          </w:pPr>
          <w:r>
            <w:rPr>
              <w:rFonts w:hint="eastAsia" w:ascii="宋体" w:hAnsi="宋体" w:eastAsia="宋体" w:cs="宋体"/>
              <w:sz w:val="44"/>
              <w:szCs w:val="44"/>
            </w:rPr>
            <w:t>目录</w:t>
          </w:r>
        </w:p>
        <w:p w14:paraId="3521FDA6">
          <w:pPr>
            <w:pStyle w:val="6"/>
            <w:tabs>
              <w:tab w:val="right" w:leader="dot" w:pos="8306"/>
            </w:tabs>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TOC \o "1-3" \h \u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_Toc20795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1:系统登陆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_Toc20795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50D9BECC">
          <w:pPr>
            <w:pStyle w:val="6"/>
            <w:tabs>
              <w:tab w:val="right" w:leader="dot" w:pos="8306"/>
            </w:tabs>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_Toc12917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2:发货管理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_Toc12917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52B7C8C8">
          <w:pPr>
            <w:pStyle w:val="7"/>
            <w:tabs>
              <w:tab w:val="right" w:leader="dot" w:pos="8306"/>
            </w:tabs>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_Toc8806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2.1按订单发货</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_Toc8806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51D468D9">
          <w:pPr>
            <w:pStyle w:val="7"/>
            <w:tabs>
              <w:tab w:val="right" w:leader="dot" w:pos="8306"/>
            </w:tabs>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_Toc3366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2.2按明细发货</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_Toc3366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76E988CA">
          <w:pPr>
            <w:pStyle w:val="7"/>
            <w:tabs>
              <w:tab w:val="right" w:leader="dot" w:pos="8306"/>
            </w:tabs>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_Toc31962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2.3发货订单管理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_Toc31962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42A6C10D">
          <w:pPr>
            <w:pStyle w:val="7"/>
            <w:tabs>
              <w:tab w:val="right" w:leader="dot" w:pos="8306"/>
            </w:tabs>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_Toc16085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2.4订单明细跟踪</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_Toc16085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094073E1">
          <w:pPr>
            <w:pStyle w:val="6"/>
            <w:tabs>
              <w:tab w:val="right" w:leader="dot" w:pos="8306"/>
            </w:tabs>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_Toc8914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3:合同管理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_Toc8914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1ED0D0F4">
          <w:pPr>
            <w:pStyle w:val="7"/>
            <w:tabs>
              <w:tab w:val="right" w:leader="dot" w:pos="8306"/>
            </w:tabs>
            <w:rPr>
              <w:rFonts w:hint="eastAsia" w:ascii="宋体" w:hAnsi="宋体" w:eastAsia="宋体" w:cs="宋体"/>
              <w:sz w:val="28"/>
              <w:szCs w:val="28"/>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\l _Toc8574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3.1合同管理（配送）</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_Toc8574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fldChar w:fldCharType="end"/>
          </w:r>
        </w:p>
        <w:p w14:paraId="3F66A3A0">
          <w:pPr>
            <w:jc w:val="both"/>
            <w:rPr>
              <w:rFonts w:hint="eastAsia" w:asciiTheme="minorHAnsi" w:hAnsiTheme="minorHAnsi" w:eastAsiaTheme="minorEastAsia" w:cstheme="minorBidi"/>
              <w:kern w:val="2"/>
              <w:sz w:val="21"/>
              <w:szCs w:val="36"/>
              <w:lang w:val="en-US" w:eastAsia="zh-CN" w:bidi="ar-SA"/>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cs="宋体"/>
              <w:sz w:val="28"/>
              <w:szCs w:val="28"/>
              <w:lang w:val="en-US" w:eastAsia="zh-CN"/>
            </w:rPr>
            <w:fldChar w:fldCharType="end"/>
          </w:r>
        </w:p>
      </w:sdtContent>
    </w:sdt>
    <w:p w14:paraId="7FCB3D83">
      <w:pPr>
        <w:pStyle w:val="2"/>
        <w:bidi w:val="0"/>
        <w:rPr>
          <w:rFonts w:hint="eastAsia" w:asciiTheme="majorEastAsia" w:hAnsiTheme="majorEastAsia" w:eastAsiaTheme="majorEastAsia" w:cstheme="majorEastAsia"/>
          <w:sz w:val="28"/>
          <w:szCs w:val="28"/>
          <w:lang w:val="en-US" w:eastAsia="zh-CN"/>
        </w:rPr>
      </w:pPr>
      <w:bookmarkStart w:id="0" w:name="_Toc1342530415"/>
      <w:bookmarkStart w:id="1" w:name="_Toc20795"/>
      <w:r>
        <w:rPr>
          <w:rFonts w:hint="eastAsia" w:asciiTheme="majorEastAsia" w:hAnsiTheme="majorEastAsia" w:eastAsiaTheme="majorEastAsia" w:cstheme="majorEastAsia"/>
          <w:sz w:val="28"/>
          <w:szCs w:val="28"/>
          <w:lang w:val="en-US" w:eastAsia="zh-CN"/>
        </w:rPr>
        <w:t>1:系统登陆</w:t>
      </w:r>
      <w:bookmarkEnd w:id="0"/>
      <w:bookmarkEnd w:id="1"/>
    </w:p>
    <w:p w14:paraId="7FDD9D9E">
      <w:pPr>
        <w:ind w:firstLine="280" w:firstLineChars="100"/>
        <w:jc w:val="both"/>
        <w:rPr>
          <w:rFonts w:hint="default" w:eastAsiaTheme="minorEastAsia"/>
          <w:sz w:val="28"/>
          <w:szCs w:val="28"/>
          <w:lang w:val="en-US" w:eastAsia="zh-CN"/>
        </w:rPr>
      </w:pPr>
      <w:r>
        <w:rPr>
          <w:rFonts w:hint="eastAsia"/>
          <w:sz w:val="28"/>
          <w:szCs w:val="28"/>
          <w:lang w:val="en-US" w:eastAsia="zh-CN"/>
        </w:rPr>
        <w:t>配方颗粒交易管理</w:t>
      </w:r>
    </w:p>
    <w:p w14:paraId="3933C8CA">
      <w:pPr>
        <w:jc w:val="both"/>
      </w:pPr>
    </w:p>
    <w:p w14:paraId="05D60BE4">
      <w:pPr>
        <w:jc w:val="both"/>
      </w:pPr>
      <w:r>
        <w:drawing>
          <wp:inline distT="0" distB="0" distL="114300" distR="114300">
            <wp:extent cx="5271770" cy="2605405"/>
            <wp:effectExtent l="0" t="0" r="11430" b="1079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5271770" cy="2605405"/>
                    </a:xfrm>
                    <a:prstGeom prst="rect">
                      <a:avLst/>
                    </a:prstGeom>
                    <a:noFill/>
                    <a:ln>
                      <a:noFill/>
                    </a:ln>
                  </pic:spPr>
                </pic:pic>
              </a:graphicData>
            </a:graphic>
          </wp:inline>
        </w:drawing>
      </w:r>
    </w:p>
    <w:p w14:paraId="46ED42C4">
      <w:pPr>
        <w:pStyle w:val="2"/>
        <w:bidi w:val="0"/>
        <w:rPr>
          <w:rFonts w:hint="default"/>
          <w:sz w:val="28"/>
          <w:szCs w:val="28"/>
          <w:lang w:val="en-US" w:eastAsia="zh-CN"/>
        </w:rPr>
      </w:pPr>
      <w:bookmarkStart w:id="2" w:name="_Toc2042242173"/>
      <w:bookmarkStart w:id="3" w:name="_Toc12917"/>
      <w:r>
        <w:rPr>
          <w:rFonts w:hint="eastAsia"/>
          <w:sz w:val="28"/>
          <w:szCs w:val="28"/>
          <w:lang w:val="en-US" w:eastAsia="zh-CN"/>
        </w:rPr>
        <w:t>2:发货管理</w:t>
      </w:r>
      <w:bookmarkEnd w:id="2"/>
      <w:bookmarkEnd w:id="3"/>
    </w:p>
    <w:p w14:paraId="2E414A1C">
      <w:pPr>
        <w:pStyle w:val="3"/>
        <w:bidi w:val="0"/>
        <w:rPr>
          <w:rFonts w:hint="eastAsia" w:asciiTheme="minorEastAsia" w:hAnsiTheme="minorEastAsia" w:eastAsiaTheme="minorEastAsia" w:cstheme="minorEastAsia"/>
          <w:sz w:val="28"/>
          <w:szCs w:val="28"/>
          <w:lang w:val="en-US" w:eastAsia="zh-CN"/>
        </w:rPr>
      </w:pPr>
      <w:bookmarkStart w:id="4" w:name="_Toc733071610"/>
      <w:bookmarkStart w:id="5" w:name="_Toc8806"/>
      <w:r>
        <w:rPr>
          <w:rFonts w:hint="eastAsia" w:asciiTheme="minorEastAsia" w:hAnsiTheme="minorEastAsia" w:eastAsiaTheme="minorEastAsia" w:cstheme="minorEastAsia"/>
          <w:sz w:val="28"/>
          <w:szCs w:val="28"/>
          <w:lang w:val="en-US" w:eastAsia="zh-CN"/>
        </w:rPr>
        <w:t>2.1按订单发货</w:t>
      </w:r>
      <w:bookmarkEnd w:id="4"/>
      <w:bookmarkEnd w:id="5"/>
      <w:r>
        <w:rPr>
          <w:rFonts w:hint="eastAsia" w:asciiTheme="minorEastAsia" w:hAnsiTheme="minorEastAsia" w:eastAsiaTheme="minorEastAsia" w:cstheme="minorEastAsia"/>
          <w:sz w:val="28"/>
          <w:szCs w:val="28"/>
          <w:lang w:val="en-US" w:eastAsia="zh-CN"/>
        </w:rPr>
        <w:t xml:space="preserve"> </w:t>
      </w:r>
    </w:p>
    <w:p w14:paraId="371B59DE">
      <w:pPr>
        <w:ind w:firstLine="560" w:firstLineChars="200"/>
        <w:jc w:val="both"/>
        <w:rPr>
          <w:rFonts w:hint="default"/>
          <w:sz w:val="28"/>
          <w:szCs w:val="28"/>
          <w:lang w:val="en-US" w:eastAsia="zh-CN"/>
        </w:rPr>
      </w:pPr>
      <w:r>
        <w:rPr>
          <w:rFonts w:hint="eastAsia"/>
          <w:sz w:val="28"/>
          <w:szCs w:val="28"/>
          <w:lang w:val="en-US" w:eastAsia="zh-CN"/>
        </w:rPr>
        <w:t>企业可以根据待发货和待补货来查询医疗机构订单的相关的产品信息情况，然后进行发货点选。</w:t>
      </w:r>
    </w:p>
    <w:p w14:paraId="5F956364">
      <w:pPr>
        <w:jc w:val="both"/>
      </w:pPr>
      <w:r>
        <w:drawing>
          <wp:inline distT="0" distB="0" distL="114300" distR="114300">
            <wp:extent cx="5271135" cy="1962785"/>
            <wp:effectExtent l="0" t="0" r="12065" b="1841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6"/>
                    <a:stretch>
                      <a:fillRect/>
                    </a:stretch>
                  </pic:blipFill>
                  <pic:spPr>
                    <a:xfrm>
                      <a:off x="0" y="0"/>
                      <a:ext cx="5271135" cy="1962785"/>
                    </a:xfrm>
                    <a:prstGeom prst="rect">
                      <a:avLst/>
                    </a:prstGeom>
                    <a:noFill/>
                    <a:ln>
                      <a:noFill/>
                    </a:ln>
                  </pic:spPr>
                </pic:pic>
              </a:graphicData>
            </a:graphic>
          </wp:inline>
        </w:drawing>
      </w:r>
    </w:p>
    <w:p w14:paraId="45446890">
      <w:pPr>
        <w:jc w:val="both"/>
      </w:pPr>
    </w:p>
    <w:p w14:paraId="54F6F39C">
      <w:pPr>
        <w:pStyle w:val="3"/>
        <w:bidi w:val="0"/>
        <w:rPr>
          <w:rFonts w:hint="eastAsia" w:asciiTheme="minorEastAsia" w:hAnsiTheme="minorEastAsia" w:eastAsiaTheme="minorEastAsia" w:cstheme="minorEastAsia"/>
          <w:sz w:val="28"/>
          <w:szCs w:val="28"/>
          <w:lang w:val="en-US" w:eastAsia="zh-CN"/>
        </w:rPr>
      </w:pPr>
      <w:bookmarkStart w:id="6" w:name="_Toc620866431"/>
      <w:bookmarkStart w:id="7" w:name="_Toc3366"/>
      <w:r>
        <w:rPr>
          <w:rFonts w:hint="eastAsia" w:asciiTheme="minorEastAsia" w:hAnsiTheme="minorEastAsia" w:eastAsiaTheme="minorEastAsia" w:cstheme="minorEastAsia"/>
          <w:sz w:val="28"/>
          <w:szCs w:val="28"/>
          <w:lang w:val="en-US" w:eastAsia="zh-CN"/>
        </w:rPr>
        <w:t>2.2按明细发货</w:t>
      </w:r>
      <w:bookmarkEnd w:id="6"/>
      <w:bookmarkEnd w:id="7"/>
    </w:p>
    <w:p w14:paraId="102FD4E3">
      <w:pPr>
        <w:jc w:val="both"/>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可以根据订单编号，医疗机构，项目名称等来进行查询，也可以针对订单明细进行拆分发货和取消拆分，设置缺货和确认发货的操作。（</w:t>
      </w:r>
      <w:r>
        <w:rPr>
          <w:rFonts w:hint="eastAsia" w:asciiTheme="minorEastAsia" w:hAnsiTheme="minorEastAsia" w:cstheme="minorEastAsia"/>
          <w:color w:val="FF0000"/>
          <w:sz w:val="28"/>
          <w:szCs w:val="28"/>
          <w:lang w:val="en-US" w:eastAsia="zh-CN"/>
        </w:rPr>
        <w:t>注意：订单内的信息要填写完整才确认发货</w:t>
      </w:r>
      <w:r>
        <w:rPr>
          <w:rFonts w:hint="eastAsia" w:asciiTheme="minorEastAsia" w:hAnsiTheme="minorEastAsia" w:cstheme="minorEastAsia"/>
          <w:sz w:val="28"/>
          <w:szCs w:val="28"/>
          <w:lang w:val="en-US" w:eastAsia="zh-CN"/>
        </w:rPr>
        <w:t>）</w:t>
      </w:r>
    </w:p>
    <w:p w14:paraId="5C4AE5B4">
      <w:pPr>
        <w:jc w:val="both"/>
      </w:pPr>
      <w:r>
        <w:drawing>
          <wp:inline distT="0" distB="0" distL="114300" distR="114300">
            <wp:extent cx="5271135" cy="2226945"/>
            <wp:effectExtent l="0" t="0" r="12065" b="825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7"/>
                    <a:stretch>
                      <a:fillRect/>
                    </a:stretch>
                  </pic:blipFill>
                  <pic:spPr>
                    <a:xfrm>
                      <a:off x="0" y="0"/>
                      <a:ext cx="5271135" cy="2226945"/>
                    </a:xfrm>
                    <a:prstGeom prst="rect">
                      <a:avLst/>
                    </a:prstGeom>
                    <a:noFill/>
                    <a:ln>
                      <a:noFill/>
                    </a:ln>
                  </pic:spPr>
                </pic:pic>
              </a:graphicData>
            </a:graphic>
          </wp:inline>
        </w:drawing>
      </w:r>
    </w:p>
    <w:p w14:paraId="5D3647C7">
      <w:pPr>
        <w:pStyle w:val="3"/>
        <w:bidi w:val="0"/>
        <w:rPr>
          <w:rFonts w:hint="eastAsia" w:asciiTheme="minorEastAsia" w:hAnsiTheme="minorEastAsia" w:eastAsiaTheme="minorEastAsia" w:cstheme="minorEastAsia"/>
          <w:sz w:val="28"/>
          <w:szCs w:val="28"/>
          <w:lang w:val="en-US" w:eastAsia="zh-CN"/>
        </w:rPr>
      </w:pPr>
      <w:bookmarkStart w:id="8" w:name="_Toc279065044"/>
      <w:bookmarkStart w:id="9" w:name="_Toc31962"/>
      <w:r>
        <w:rPr>
          <w:rFonts w:hint="eastAsia" w:asciiTheme="minorEastAsia" w:hAnsiTheme="minorEastAsia" w:eastAsiaTheme="minorEastAsia" w:cstheme="minorEastAsia"/>
          <w:sz w:val="28"/>
          <w:szCs w:val="28"/>
          <w:lang w:val="en-US" w:eastAsia="zh-CN"/>
        </w:rPr>
        <w:t>2.3发货订单管理</w:t>
      </w:r>
      <w:bookmarkEnd w:id="8"/>
      <w:bookmarkEnd w:id="9"/>
    </w:p>
    <w:p w14:paraId="2C4C7379">
      <w:pPr>
        <w:ind w:firstLine="560" w:firstLineChars="200"/>
        <w:rPr>
          <w:rFonts w:hint="default"/>
          <w:sz w:val="28"/>
          <w:szCs w:val="28"/>
          <w:lang w:val="en-US" w:eastAsia="zh-CN"/>
        </w:rPr>
      </w:pPr>
      <w:r>
        <w:rPr>
          <w:rFonts w:hint="eastAsia"/>
          <w:sz w:val="28"/>
          <w:szCs w:val="28"/>
          <w:lang w:val="en-US" w:eastAsia="zh-CN"/>
        </w:rPr>
        <w:t>企业可以查看未完成和已完成的订单信息，可以根据医疗机构和发送时间来进行查询，针对未完成的订单企业可以进行确认送达和撤回的操作，已完成的订单只能查看。</w:t>
      </w:r>
    </w:p>
    <w:p w14:paraId="03C65A7B">
      <w:pPr>
        <w:jc w:val="both"/>
      </w:pPr>
      <w:r>
        <w:drawing>
          <wp:inline distT="0" distB="0" distL="114300" distR="114300">
            <wp:extent cx="5271135" cy="1696720"/>
            <wp:effectExtent l="0" t="0" r="12065" b="508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8"/>
                    <a:stretch>
                      <a:fillRect/>
                    </a:stretch>
                  </pic:blipFill>
                  <pic:spPr>
                    <a:xfrm>
                      <a:off x="0" y="0"/>
                      <a:ext cx="5271135" cy="1696720"/>
                    </a:xfrm>
                    <a:prstGeom prst="rect">
                      <a:avLst/>
                    </a:prstGeom>
                    <a:noFill/>
                    <a:ln>
                      <a:noFill/>
                    </a:ln>
                  </pic:spPr>
                </pic:pic>
              </a:graphicData>
            </a:graphic>
          </wp:inline>
        </w:drawing>
      </w:r>
    </w:p>
    <w:p w14:paraId="0D68C7EA">
      <w:pPr>
        <w:jc w:val="both"/>
      </w:pPr>
    </w:p>
    <w:p w14:paraId="5F37C1F8">
      <w:pPr>
        <w:jc w:val="both"/>
      </w:pPr>
    </w:p>
    <w:p w14:paraId="1B9F267D">
      <w:pPr>
        <w:jc w:val="both"/>
      </w:pPr>
    </w:p>
    <w:p w14:paraId="34019D63">
      <w:pPr>
        <w:pStyle w:val="3"/>
        <w:bidi w:val="0"/>
        <w:rPr>
          <w:rFonts w:hint="eastAsia" w:asciiTheme="minorEastAsia" w:hAnsiTheme="minorEastAsia" w:eastAsiaTheme="minorEastAsia" w:cstheme="minorEastAsia"/>
          <w:sz w:val="28"/>
          <w:szCs w:val="28"/>
          <w:lang w:val="en-US" w:eastAsia="zh-CN"/>
        </w:rPr>
      </w:pPr>
      <w:bookmarkStart w:id="10" w:name="_Toc141909460"/>
      <w:bookmarkStart w:id="11" w:name="_Toc16085"/>
      <w:r>
        <w:rPr>
          <w:rFonts w:hint="eastAsia" w:asciiTheme="minorEastAsia" w:hAnsiTheme="minorEastAsia" w:eastAsiaTheme="minorEastAsia" w:cstheme="minorEastAsia"/>
          <w:sz w:val="28"/>
          <w:szCs w:val="28"/>
          <w:lang w:val="en-US" w:eastAsia="zh-CN"/>
        </w:rPr>
        <w:t>2.4订单明细跟踪</w:t>
      </w:r>
      <w:bookmarkEnd w:id="10"/>
      <w:bookmarkEnd w:id="11"/>
    </w:p>
    <w:p w14:paraId="0655EE88">
      <w:pPr>
        <w:ind w:firstLine="560" w:firstLineChars="200"/>
        <w:jc w:val="both"/>
        <w:rPr>
          <w:rFonts w:hint="default"/>
          <w:sz w:val="28"/>
          <w:szCs w:val="28"/>
          <w:lang w:val="en-US" w:eastAsia="zh-CN"/>
        </w:rPr>
      </w:pPr>
      <w:r>
        <w:rPr>
          <w:rFonts w:hint="eastAsia"/>
          <w:sz w:val="28"/>
          <w:szCs w:val="28"/>
          <w:lang w:val="en-US" w:eastAsia="zh-CN"/>
        </w:rPr>
        <w:t>企业可以根据待发货，已发货，已收货，拒绝收货，缺货列表来查询相关的订单明细信息并进行导出</w:t>
      </w:r>
    </w:p>
    <w:p w14:paraId="56086B60">
      <w:pPr>
        <w:jc w:val="both"/>
      </w:pPr>
      <w:r>
        <w:drawing>
          <wp:inline distT="0" distB="0" distL="114300" distR="114300">
            <wp:extent cx="5266690" cy="2193290"/>
            <wp:effectExtent l="0" t="0" r="16510" b="1651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9"/>
                    <a:stretch>
                      <a:fillRect/>
                    </a:stretch>
                  </pic:blipFill>
                  <pic:spPr>
                    <a:xfrm>
                      <a:off x="0" y="0"/>
                      <a:ext cx="5266690" cy="2193290"/>
                    </a:xfrm>
                    <a:prstGeom prst="rect">
                      <a:avLst/>
                    </a:prstGeom>
                    <a:noFill/>
                    <a:ln>
                      <a:noFill/>
                    </a:ln>
                  </pic:spPr>
                </pic:pic>
              </a:graphicData>
            </a:graphic>
          </wp:inline>
        </w:drawing>
      </w:r>
    </w:p>
    <w:p w14:paraId="1989B3E5">
      <w:pPr>
        <w:bidi w:val="0"/>
      </w:pPr>
    </w:p>
    <w:p w14:paraId="35F03A36">
      <w:pPr>
        <w:pStyle w:val="2"/>
        <w:bidi w:val="0"/>
        <w:rPr>
          <w:rFonts w:hint="eastAsia" w:asciiTheme="minorEastAsia" w:hAnsiTheme="minorEastAsia" w:eastAsiaTheme="minorEastAsia" w:cstheme="minorEastAsia"/>
          <w:sz w:val="28"/>
          <w:szCs w:val="28"/>
          <w:lang w:val="en-US" w:eastAsia="zh-CN"/>
        </w:rPr>
      </w:pPr>
      <w:bookmarkStart w:id="12" w:name="_Toc1365446050"/>
      <w:bookmarkStart w:id="13" w:name="_Toc8914"/>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lang w:val="en-US" w:eastAsia="zh-CN"/>
        </w:rPr>
        <w:t>:合同管理</w:t>
      </w:r>
      <w:bookmarkEnd w:id="12"/>
      <w:bookmarkEnd w:id="13"/>
    </w:p>
    <w:p w14:paraId="409172B1">
      <w:pPr>
        <w:pStyle w:val="3"/>
        <w:bidi w:val="0"/>
        <w:rPr>
          <w:rFonts w:hint="eastAsia"/>
          <w:sz w:val="28"/>
          <w:szCs w:val="28"/>
          <w:lang w:val="en-US" w:eastAsia="zh-CN"/>
        </w:rPr>
      </w:pPr>
      <w:bookmarkStart w:id="14" w:name="_Toc1041510508"/>
      <w:bookmarkStart w:id="15" w:name="_Toc8574"/>
      <w:r>
        <w:rPr>
          <w:rFonts w:hint="eastAsia" w:asciiTheme="minorEastAsia" w:hAnsiTheme="minorEastAsia" w:eastAsiaTheme="minorEastAsia" w:cstheme="minorEastAsia"/>
          <w:sz w:val="28"/>
          <w:szCs w:val="28"/>
          <w:lang w:val="en-US" w:eastAsia="zh-CN"/>
        </w:rPr>
        <w:t>3.1合同管理（配送）</w:t>
      </w:r>
      <w:bookmarkEnd w:id="14"/>
      <w:bookmarkEnd w:id="15"/>
    </w:p>
    <w:p w14:paraId="6E35CF31">
      <w:pPr>
        <w:ind w:firstLine="560" w:firstLineChars="200"/>
        <w:rPr>
          <w:rFonts w:hint="default"/>
          <w:sz w:val="28"/>
          <w:szCs w:val="28"/>
          <w:lang w:val="en-US" w:eastAsia="zh-CN"/>
        </w:rPr>
      </w:pPr>
      <w:r>
        <w:rPr>
          <w:rFonts w:hint="eastAsia"/>
          <w:sz w:val="28"/>
          <w:szCs w:val="28"/>
          <w:lang w:val="en-US" w:eastAsia="zh-CN"/>
        </w:rPr>
        <w:t>可以根据医疗机构，配送企业，项目名称和签署状态查询合同的具体签署情况（</w:t>
      </w:r>
      <w:r>
        <w:rPr>
          <w:rFonts w:hint="eastAsia"/>
          <w:color w:val="FF0000"/>
          <w:sz w:val="28"/>
          <w:szCs w:val="28"/>
          <w:lang w:val="en-US" w:eastAsia="zh-CN"/>
        </w:rPr>
        <w:t>注意：要按照标红的字体按照顺序签订合同</w:t>
      </w:r>
      <w:r>
        <w:rPr>
          <w:rFonts w:hint="eastAsia"/>
          <w:sz w:val="28"/>
          <w:szCs w:val="28"/>
          <w:lang w:val="en-US" w:eastAsia="zh-CN"/>
        </w:rPr>
        <w:t>）</w:t>
      </w:r>
    </w:p>
    <w:p w14:paraId="5D21CE6E">
      <w:pPr>
        <w:ind w:firstLine="560" w:firstLineChars="200"/>
        <w:rPr>
          <w:rFonts w:hint="default"/>
          <w:sz w:val="28"/>
          <w:szCs w:val="28"/>
          <w:lang w:val="en-US" w:eastAsia="zh-CN"/>
        </w:rPr>
      </w:pPr>
    </w:p>
    <w:p w14:paraId="491D1454">
      <w:r>
        <w:drawing>
          <wp:inline distT="0" distB="0" distL="114300" distR="114300">
            <wp:extent cx="5273675" cy="1590040"/>
            <wp:effectExtent l="0" t="0" r="9525" b="1016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0"/>
                    <a:stretch>
                      <a:fillRect/>
                    </a:stretch>
                  </pic:blipFill>
                  <pic:spPr>
                    <a:xfrm>
                      <a:off x="0" y="0"/>
                      <a:ext cx="5273675" cy="1590040"/>
                    </a:xfrm>
                    <a:prstGeom prst="rect">
                      <a:avLst/>
                    </a:prstGeom>
                    <a:noFill/>
                    <a:ln>
                      <a:noFill/>
                    </a:ln>
                  </pic:spPr>
                </pic:pic>
              </a:graphicData>
            </a:graphic>
          </wp:inline>
        </w:drawing>
      </w:r>
    </w:p>
    <w:p w14:paraId="569C3ABE">
      <w:pPr>
        <w:rPr>
          <w:rFonts w:hint="eastAsia"/>
          <w:lang w:val="en-US" w:eastAsia="zh-CN"/>
        </w:rPr>
      </w:pPr>
    </w:p>
    <w:p w14:paraId="74C7827E">
      <w:pPr>
        <w:jc w:val="both"/>
        <w:rPr>
          <w:rFonts w:hint="default"/>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4775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7D8168">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87D8168">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yMmZhYWU3YmM3YWUwYzA3OGQwYTIzMjAwMzdkNGUifQ=="/>
  </w:docVars>
  <w:rsids>
    <w:rsidRoot w:val="9DDAF568"/>
    <w:rsid w:val="116A0D7E"/>
    <w:rsid w:val="1D6B500B"/>
    <w:rsid w:val="2A0857C7"/>
    <w:rsid w:val="3BFF2F19"/>
    <w:rsid w:val="3FDDC60B"/>
    <w:rsid w:val="43BBB0B9"/>
    <w:rsid w:val="5B618447"/>
    <w:rsid w:val="5FDFFA2E"/>
    <w:rsid w:val="67D9899C"/>
    <w:rsid w:val="6EDB7D9B"/>
    <w:rsid w:val="6FFF297E"/>
    <w:rsid w:val="777D04FB"/>
    <w:rsid w:val="77FEEB26"/>
    <w:rsid w:val="7CFF7EC6"/>
    <w:rsid w:val="7F1F4523"/>
    <w:rsid w:val="7FFFDE71"/>
    <w:rsid w:val="9DDAF568"/>
    <w:rsid w:val="9FF8C15C"/>
    <w:rsid w:val="AEBBC94C"/>
    <w:rsid w:val="B4FB7622"/>
    <w:rsid w:val="BFE39821"/>
    <w:rsid w:val="D9FEEABE"/>
    <w:rsid w:val="DCEDE5EA"/>
    <w:rsid w:val="F6ED8782"/>
    <w:rsid w:val="F7AF5C38"/>
    <w:rsid w:val="F7B98F63"/>
    <w:rsid w:val="F7B9C175"/>
    <w:rsid w:val="FEFFB78E"/>
    <w:rsid w:val="FFB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1"/>
    <w:qFormat/>
    <w:uiPriority w:val="0"/>
    <w:pPr>
      <w:ind w:leftChars="0"/>
    </w:pPr>
    <w:rPr>
      <w:rFonts w:asciiTheme="minorHAnsi" w:hAnsiTheme="minorHAnsi" w:eastAsiaTheme="minorEastAsia" w:cstheme="minorBidi"/>
      <w:sz w:val="20"/>
      <w:szCs w:val="20"/>
    </w:rPr>
  </w:style>
  <w:style w:type="paragraph" w:customStyle="1" w:styleId="11">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445</Words>
  <Characters>476</Characters>
  <Lines>0</Lines>
  <Paragraphs>0</Paragraphs>
  <TotalTime>0</TotalTime>
  <ScaleCrop>false</ScaleCrop>
  <LinksUpToDate>false</LinksUpToDate>
  <CharactersWithSpaces>503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2024-05-13T17:48:00Z</dcterms:created>
  <dc:creator>八方影</dc:creator>
  <cp:lastModifiedBy>青屿</cp:lastModifiedBy>
  <dcterms:modified xsi:type="dcterms:W3CDTF">2024-11-15T00:51:43Z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975ECC51FDA6FF27666B48661BD111D9_41</vt:lpwstr>
  </property>
</Properties>
</file>