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云南省药品集中采购平台</w:t>
      </w: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医用耗材申报系统v4.0操作指引</w:t>
      </w: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（投标企业）</w:t>
      </w: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202</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3-12</w:t>
      </w:r>
      <w:r>
        <w:rPr>
          <w:rFonts w:ascii="微软雅黑" w:hAnsi="微软雅黑" w:eastAsia="微软雅黑" w:cs="微软雅黑"/>
          <w:b/>
          <w:bCs/>
          <w:color w:val="000000" w:themeColor="text1"/>
          <w:szCs w:val="21"/>
          <w14:textFill>
            <w14:solidFill>
              <w14:schemeClr w14:val="tx1"/>
            </w14:solidFill>
          </w14:textFill>
        </w:rPr>
        <w:br w:type="page"/>
      </w:r>
    </w:p>
    <w:p>
      <w:pPr>
        <w:pStyle w:val="12"/>
        <w:tabs>
          <w:tab w:val="right" w:leader="dot" w:pos="15704"/>
        </w:tabs>
        <w:jc w:val="center"/>
        <w:rPr>
          <w:rFonts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p>
      <w:pPr>
        <w:jc w:val="center"/>
      </w:pP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color w:val="000000" w:themeColor="text1"/>
          <w:szCs w:val="21"/>
          <w:lang w:eastAsia="zh-Hans"/>
          <w14:textFill>
            <w14:solidFill>
              <w14:schemeClr w14:val="tx1"/>
            </w14:solidFill>
          </w14:textFill>
        </w:rPr>
        <w:instrText xml:space="preserve">TOC \o "1-4" \h \u </w:instrText>
      </w:r>
      <w:r>
        <w:rPr>
          <w:rFonts w:hint="eastAsia" w:ascii="微软雅黑" w:hAnsi="微软雅黑" w:eastAsia="微软雅黑" w:cs="微软雅黑"/>
          <w:color w:val="000000" w:themeColor="text1"/>
          <w:szCs w:val="21"/>
          <w:lang w:eastAsia="zh-Hans"/>
          <w14:textFill>
            <w14:solidFill>
              <w14:schemeClr w14:val="tx1"/>
            </w14:solidFill>
          </w14:textFill>
        </w:rPr>
        <w:fldChar w:fldCharType="separate"/>
      </w: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_Toc19107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 xml:space="preserve">第一章 </w:t>
      </w:r>
      <w:r>
        <w:rPr>
          <w:rFonts w:hint="eastAsia" w:ascii="微软雅黑" w:hAnsi="微软雅黑" w:eastAsia="微软雅黑" w:cs="微软雅黑"/>
        </w:rPr>
        <w:t>一般问题解答</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_Toc19107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_Toc7501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二</w:t>
      </w:r>
      <w:r>
        <w:rPr>
          <w:rFonts w:hint="eastAsia" w:ascii="微软雅黑" w:hAnsi="微软雅黑" w:eastAsia="微软雅黑" w:cs="微软雅黑"/>
        </w:rPr>
        <w:t>章 关于这本手册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_Toc7501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_Toc21402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三</w:t>
      </w:r>
      <w:r>
        <w:rPr>
          <w:rFonts w:hint="eastAsia" w:ascii="微软雅黑" w:hAnsi="微软雅黑" w:eastAsia="微软雅黑" w:cs="微软雅黑"/>
        </w:rPr>
        <w:t>章 使用须知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_Toc21402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_Toc32643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1操作系统相关需求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_Toc32643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_Toc16969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2平台相关操作须知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_Toc16969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_Toc19879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3耗材申报系统业务流程图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_Toc19879 \h </w:instrText>
      </w:r>
      <w:r>
        <w:rPr>
          <w:rFonts w:hint="eastAsia" w:ascii="微软雅黑" w:hAnsi="微软雅黑" w:eastAsia="微软雅黑" w:cs="微软雅黑"/>
        </w:rPr>
        <w:fldChar w:fldCharType="separate"/>
      </w:r>
      <w:r>
        <w:rPr>
          <w:rFonts w:hint="eastAsia" w:ascii="微软雅黑" w:hAnsi="微软雅黑" w:eastAsia="微软雅黑" w:cs="微软雅黑"/>
        </w:rPr>
        <w:t>5</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_Toc31470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四</w:t>
      </w:r>
      <w:r>
        <w:rPr>
          <w:rFonts w:hint="eastAsia" w:ascii="微软雅黑" w:hAnsi="微软雅黑" w:eastAsia="微软雅黑" w:cs="微软雅黑"/>
        </w:rPr>
        <w:t>章 登录与退出系统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_Toc31470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_Toc26022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4.1平台首页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_Toc26022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_Toc27585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4.2 用户登录与退出</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_Toc27585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_Toc27861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4.</w:t>
      </w:r>
      <w:r>
        <w:rPr>
          <w:rFonts w:hint="eastAsia" w:ascii="微软雅黑" w:hAnsi="微软雅黑" w:eastAsia="微软雅黑" w:cs="微软雅黑"/>
        </w:rPr>
        <w:t>2</w:t>
      </w:r>
      <w:r>
        <w:rPr>
          <w:rFonts w:hint="eastAsia" w:ascii="微软雅黑" w:hAnsi="微软雅黑" w:eastAsia="微软雅黑" w:cs="微软雅黑"/>
          <w:lang w:eastAsia="zh-Hans"/>
        </w:rPr>
        <w:t>.1</w:t>
      </w:r>
      <w:r>
        <w:rPr>
          <w:rFonts w:hint="eastAsia" w:ascii="微软雅黑" w:hAnsi="微软雅黑" w:eastAsia="微软雅黑" w:cs="微软雅黑"/>
        </w:rPr>
        <w:t>登录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_Toc27861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_Toc15580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4.2.2退出</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_Toc15580 \h </w:instrText>
      </w:r>
      <w:r>
        <w:rPr>
          <w:rFonts w:hint="eastAsia" w:ascii="微软雅黑" w:hAnsi="微软雅黑" w:eastAsia="微软雅黑" w:cs="微软雅黑"/>
        </w:rPr>
        <w:fldChar w:fldCharType="separate"/>
      </w:r>
      <w:r>
        <w:rPr>
          <w:rFonts w:hint="eastAsia" w:ascii="微软雅黑" w:hAnsi="微软雅黑" w:eastAsia="微软雅黑" w:cs="微软雅黑"/>
        </w:rPr>
        <w:t>7</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_Toc27312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五</w:t>
      </w:r>
      <w:r>
        <w:rPr>
          <w:rFonts w:hint="eastAsia" w:ascii="微软雅黑" w:hAnsi="微软雅黑" w:eastAsia="微软雅黑" w:cs="微软雅黑"/>
        </w:rPr>
        <w:t>章 云南省医用耗材申报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_Toc27312 \h </w:instrText>
      </w:r>
      <w:r>
        <w:rPr>
          <w:rFonts w:hint="eastAsia" w:ascii="微软雅黑" w:hAnsi="微软雅黑" w:eastAsia="微软雅黑" w:cs="微软雅黑"/>
        </w:rPr>
        <w:fldChar w:fldCharType="separate"/>
      </w:r>
      <w:r>
        <w:rPr>
          <w:rFonts w:hint="eastAsia" w:ascii="微软雅黑" w:hAnsi="微软雅黑" w:eastAsia="微软雅黑" w:cs="微软雅黑"/>
        </w:rPr>
        <w:t>7</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_Toc103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5</w:t>
      </w:r>
      <w:r>
        <w:rPr>
          <w:rFonts w:hint="eastAsia" w:ascii="微软雅黑" w:hAnsi="微软雅黑" w:eastAsia="微软雅黑" w:cs="微软雅黑"/>
          <w:lang w:eastAsia="zh-Hans"/>
        </w:rPr>
        <w:t>.1</w:t>
      </w:r>
      <w:r>
        <w:rPr>
          <w:rFonts w:hint="eastAsia" w:ascii="微软雅黑" w:hAnsi="微软雅黑" w:eastAsia="微软雅黑" w:cs="微软雅黑"/>
        </w:rPr>
        <w:t>投标企业可进行的操作</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_Toc103 \h </w:instrText>
      </w:r>
      <w:r>
        <w:rPr>
          <w:rFonts w:hint="eastAsia" w:ascii="微软雅黑" w:hAnsi="微软雅黑" w:eastAsia="微软雅黑" w:cs="微软雅黑"/>
        </w:rPr>
        <w:fldChar w:fldCharType="separate"/>
      </w:r>
      <w:r>
        <w:rPr>
          <w:rFonts w:hint="eastAsia" w:ascii="微软雅黑" w:hAnsi="微软雅黑" w:eastAsia="微软雅黑" w:cs="微软雅黑"/>
        </w:rPr>
        <w:t>7</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_Toc27957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2 申报目录管理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_Toc27957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_Toc15294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2</w:t>
      </w:r>
      <w:r>
        <w:rPr>
          <w:rFonts w:hint="eastAsia" w:ascii="微软雅黑" w:hAnsi="微软雅黑" w:eastAsia="微软雅黑" w:cs="微软雅黑"/>
          <w:lang w:eastAsia="zh-Hans"/>
        </w:rPr>
        <w:t>.1</w:t>
      </w:r>
      <w:r>
        <w:rPr>
          <w:rFonts w:hint="eastAsia" w:ascii="微软雅黑" w:hAnsi="微软雅黑" w:eastAsia="微软雅黑" w:cs="微软雅黑"/>
        </w:rPr>
        <w:t xml:space="preserve"> 申报目录查看</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_Toc15294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_Toc16179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3 企业申报管理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_Toc16179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_Toc23512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3</w:t>
      </w:r>
      <w:r>
        <w:rPr>
          <w:rFonts w:hint="eastAsia" w:ascii="微软雅黑" w:hAnsi="微软雅黑" w:eastAsia="微软雅黑" w:cs="微软雅黑"/>
          <w:lang w:eastAsia="zh-Hans"/>
        </w:rPr>
        <w:t>.1</w:t>
      </w:r>
      <w:r>
        <w:rPr>
          <w:rFonts w:hint="eastAsia" w:ascii="微软雅黑" w:hAnsi="微软雅黑" w:eastAsia="微软雅黑" w:cs="微软雅黑"/>
        </w:rPr>
        <w:t xml:space="preserve"> 企业信息申报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_Toc23512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_Toc29778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4 注册证申报管理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_Toc29778 \h </w:instrText>
      </w:r>
      <w:r>
        <w:rPr>
          <w:rFonts w:hint="eastAsia" w:ascii="微软雅黑" w:hAnsi="微软雅黑" w:eastAsia="微软雅黑" w:cs="微软雅黑"/>
        </w:rPr>
        <w:fldChar w:fldCharType="separate"/>
      </w:r>
      <w:r>
        <w:rPr>
          <w:rFonts w:hint="eastAsia" w:ascii="微软雅黑" w:hAnsi="微软雅黑" w:eastAsia="微软雅黑" w:cs="微软雅黑"/>
        </w:rPr>
        <w:t>10</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_Toc30040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4</w:t>
      </w:r>
      <w:r>
        <w:rPr>
          <w:rFonts w:hint="eastAsia" w:ascii="微软雅黑" w:hAnsi="微软雅黑" w:eastAsia="微软雅黑" w:cs="微软雅黑"/>
          <w:lang w:eastAsia="zh-Hans"/>
        </w:rPr>
        <w:t>.1</w:t>
      </w:r>
      <w:r>
        <w:rPr>
          <w:rFonts w:hint="eastAsia" w:ascii="微软雅黑" w:hAnsi="微软雅黑" w:eastAsia="微软雅黑" w:cs="微软雅黑"/>
        </w:rPr>
        <w:t xml:space="preserve"> 注册证信息申报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_Toc30040 \h </w:instrText>
      </w:r>
      <w:r>
        <w:rPr>
          <w:rFonts w:hint="eastAsia" w:ascii="微软雅黑" w:hAnsi="微软雅黑" w:eastAsia="微软雅黑" w:cs="微软雅黑"/>
        </w:rPr>
        <w:fldChar w:fldCharType="separate"/>
      </w:r>
      <w:r>
        <w:rPr>
          <w:rFonts w:hint="eastAsia" w:ascii="微软雅黑" w:hAnsi="微软雅黑" w:eastAsia="微软雅黑" w:cs="微软雅黑"/>
        </w:rPr>
        <w:t>10</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_Toc4573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5 产品申报管理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_Toc4573 \h </w:instrText>
      </w:r>
      <w:r>
        <w:rPr>
          <w:rFonts w:hint="eastAsia" w:ascii="微软雅黑" w:hAnsi="微软雅黑" w:eastAsia="微软雅黑" w:cs="微软雅黑"/>
        </w:rPr>
        <w:fldChar w:fldCharType="separate"/>
      </w:r>
      <w:r>
        <w:rPr>
          <w:rFonts w:hint="eastAsia" w:ascii="微软雅黑" w:hAnsi="微软雅黑" w:eastAsia="微软雅黑" w:cs="微软雅黑"/>
        </w:rPr>
        <w:t>13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_Toc8376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5</w:t>
      </w:r>
      <w:r>
        <w:rPr>
          <w:rFonts w:hint="eastAsia" w:ascii="微软雅黑" w:hAnsi="微软雅黑" w:eastAsia="微软雅黑" w:cs="微软雅黑"/>
          <w:lang w:eastAsia="zh-Hans"/>
        </w:rPr>
        <w:t>.1</w:t>
      </w:r>
      <w:r>
        <w:rPr>
          <w:rFonts w:hint="eastAsia" w:ascii="微软雅黑" w:hAnsi="微软雅黑" w:eastAsia="微软雅黑" w:cs="微软雅黑"/>
        </w:rPr>
        <w:t xml:space="preserve"> 产品信息申报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_Toc8376 \h </w:instrText>
      </w:r>
      <w:r>
        <w:rPr>
          <w:rFonts w:hint="eastAsia" w:ascii="微软雅黑" w:hAnsi="微软雅黑" w:eastAsia="微软雅黑" w:cs="微软雅黑"/>
        </w:rPr>
        <w:fldChar w:fldCharType="separate"/>
      </w:r>
      <w:r>
        <w:rPr>
          <w:rFonts w:hint="eastAsia" w:ascii="微软雅黑" w:hAnsi="微软雅黑" w:eastAsia="微软雅黑" w:cs="微软雅黑"/>
        </w:rPr>
        <w:t>13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_Toc15700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5</w:t>
      </w:r>
      <w:r>
        <w:rPr>
          <w:rFonts w:hint="eastAsia" w:ascii="微软雅黑" w:hAnsi="微软雅黑" w:eastAsia="微软雅黑" w:cs="微软雅黑"/>
          <w:lang w:eastAsia="zh-Hans"/>
        </w:rPr>
        <w:t>.</w:t>
      </w:r>
      <w:r>
        <w:rPr>
          <w:rFonts w:hint="eastAsia" w:ascii="微软雅黑" w:hAnsi="微软雅黑" w:eastAsia="微软雅黑" w:cs="微软雅黑"/>
        </w:rPr>
        <w:t>2 产品信息维护</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_Toc15700 \h </w:instrText>
      </w:r>
      <w:r>
        <w:rPr>
          <w:rFonts w:hint="eastAsia" w:ascii="微软雅黑" w:hAnsi="微软雅黑" w:eastAsia="微软雅黑" w:cs="微软雅黑"/>
        </w:rPr>
        <w:fldChar w:fldCharType="separate"/>
      </w:r>
      <w:r>
        <w:rPr>
          <w:rFonts w:hint="eastAsia" w:ascii="微软雅黑" w:hAnsi="微软雅黑" w:eastAsia="微软雅黑" w:cs="微软雅黑"/>
        </w:rPr>
        <w:t>16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spacing w:line="360" w:lineRule="auto"/>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2"/>
        <w:rPr>
          <w:rFonts w:ascii="微软雅黑" w:hAnsi="微软雅黑" w:eastAsia="微软雅黑" w:cs="微软雅黑"/>
          <w:color w:val="000000" w:themeColor="text1"/>
          <w14:textFill>
            <w14:solidFill>
              <w14:schemeClr w14:val="tx1"/>
            </w14:solidFill>
          </w14:textFill>
        </w:rPr>
      </w:pPr>
      <w:bookmarkStart w:id="0" w:name="_Toc7482"/>
      <w:bookmarkStart w:id="1" w:name="_Toc616"/>
      <w:bookmarkStart w:id="2" w:name="_Toc10633"/>
      <w:bookmarkStart w:id="3" w:name="_Toc19107"/>
      <w:bookmarkStart w:id="4" w:name="_Toc3645"/>
      <w:bookmarkStart w:id="5" w:name="_Toc60225402"/>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bookmarkEnd w:id="3"/>
      <w:bookmarkEnd w:id="4"/>
      <w:bookmarkEnd w:id="5"/>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1、云南省药品集中采购平台的登录网址是什么？</w:t>
      </w:r>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答：①登录云南省药品集中采购平台门户网站http://www.ynyyzb.com.cn/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②点击云南省药品集中采购平台首页下方系统入口</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6472555" cy="3475355"/>
                    </a:xfrm>
                    <a:prstGeom prst="rect">
                      <a:avLst/>
                    </a:prstGeom>
                    <a:noFill/>
                    <a:ln>
                      <a:noFill/>
                    </a:ln>
                  </pic:spPr>
                </pic:pic>
              </a:graphicData>
            </a:graphic>
          </wp:inline>
        </w:drawing>
      </w:r>
      <w:bookmarkStart w:id="6" w:name="_Toc26667"/>
      <w:bookmarkStart w:id="7" w:name="_Toc22973"/>
      <w:bookmarkStart w:id="8" w:name="_Toc27555"/>
      <w:bookmarkStart w:id="9" w:name="_Toc1627"/>
      <w:bookmarkStart w:id="10" w:name="_Toc60225403"/>
      <w:bookmarkStart w:id="11" w:name="_Toc555684830_WPSOffice_Level1"/>
    </w:p>
    <w:p>
      <w:pPr>
        <w:pStyle w:val="2"/>
        <w:rPr>
          <w:rFonts w:ascii="微软雅黑" w:hAnsi="微软雅黑" w:eastAsia="微软雅黑" w:cs="微软雅黑"/>
          <w:color w:val="000000" w:themeColor="text1"/>
          <w14:textFill>
            <w14:solidFill>
              <w14:schemeClr w14:val="tx1"/>
            </w14:solidFill>
          </w14:textFill>
        </w:rPr>
      </w:pPr>
      <w:bookmarkStart w:id="12" w:name="_Toc7501"/>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6"/>
      <w:bookmarkEnd w:id="7"/>
      <w:bookmarkEnd w:id="8"/>
      <w:bookmarkEnd w:id="9"/>
      <w:bookmarkEnd w:id="10"/>
      <w:bookmarkEnd w:id="11"/>
      <w:bookmarkEnd w:id="12"/>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该用户手册包含了您在使用云南省药品集中采购平台时所需了解的信息。手册中所出现的用户名称及相关数据均为系统测试数据，不作为任何正式的使用依据。</w:t>
      </w: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该用户手册所对应的主体为投标企业相关的机构，介绍云南省医用耗材申报系统</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13" w:name="_Toc1158289534"/>
      <w:bookmarkStart w:id="14" w:name="_Toc1539"/>
      <w:bookmarkStart w:id="15" w:name="_Toc9793"/>
      <w:bookmarkStart w:id="16" w:name="_Toc2136040654_WPSOffice_Level1"/>
      <w:bookmarkStart w:id="17" w:name="_Toc21402"/>
      <w:bookmarkStart w:id="18" w:name="_Toc17071"/>
      <w:bookmarkStart w:id="19" w:name="_Toc10077"/>
      <w:bookmarkStart w:id="20" w:name="_Toc60225404"/>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13"/>
      <w:bookmarkEnd w:id="14"/>
      <w:bookmarkEnd w:id="15"/>
      <w:bookmarkEnd w:id="16"/>
      <w:bookmarkEnd w:id="17"/>
      <w:bookmarkEnd w:id="18"/>
      <w:bookmarkEnd w:id="19"/>
      <w:bookmarkEnd w:id="20"/>
    </w:p>
    <w:p>
      <w:pPr>
        <w:pStyle w:val="3"/>
        <w:rPr>
          <w:rFonts w:ascii="微软雅黑" w:hAnsi="微软雅黑" w:eastAsia="微软雅黑" w:cs="微软雅黑"/>
          <w:color w:val="000000" w:themeColor="text1"/>
          <w14:textFill>
            <w14:solidFill>
              <w14:schemeClr w14:val="tx1"/>
            </w14:solidFill>
          </w14:textFill>
        </w:rPr>
      </w:pPr>
      <w:bookmarkStart w:id="21" w:name="_Toc25088"/>
      <w:bookmarkStart w:id="22" w:name="_Toc15499"/>
      <w:bookmarkStart w:id="23" w:name="_Toc951144879_WPSOffice_Level2"/>
      <w:bookmarkStart w:id="24" w:name="_Toc22460"/>
      <w:bookmarkStart w:id="25" w:name="_Toc432937883"/>
      <w:bookmarkStart w:id="26" w:name="_Toc60225405"/>
      <w:bookmarkStart w:id="27" w:name="_Toc32643"/>
      <w:bookmarkStart w:id="28" w:name="_Toc10464"/>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21"/>
      <w:bookmarkEnd w:id="22"/>
      <w:bookmarkEnd w:id="23"/>
      <w:bookmarkEnd w:id="24"/>
      <w:bookmarkEnd w:id="25"/>
      <w:bookmarkEnd w:id="26"/>
      <w:bookmarkEnd w:id="27"/>
      <w:bookmarkEnd w:id="28"/>
    </w:p>
    <w:tbl>
      <w:tblPr>
        <w:tblStyle w:val="18"/>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谷歌浏览器、360安全浏览器（极速模式）、火狐浏览器</w:t>
            </w:r>
          </w:p>
        </w:tc>
      </w:tr>
    </w:tbl>
    <w:p>
      <w:pPr>
        <w:pStyle w:val="3"/>
        <w:rPr>
          <w:rFonts w:ascii="微软雅黑" w:hAnsi="微软雅黑" w:eastAsia="微软雅黑" w:cs="微软雅黑"/>
          <w:color w:val="000000" w:themeColor="text1"/>
          <w14:textFill>
            <w14:solidFill>
              <w14:schemeClr w14:val="tx1"/>
            </w14:solidFill>
          </w14:textFill>
        </w:rPr>
      </w:pPr>
    </w:p>
    <w:p/>
    <w:p>
      <w:pPr>
        <w:pStyle w:val="3"/>
        <w:rPr>
          <w:rFonts w:ascii="微软雅黑" w:hAnsi="微软雅黑" w:eastAsia="微软雅黑" w:cs="微软雅黑"/>
          <w:color w:val="000000" w:themeColor="text1"/>
          <w14:textFill>
            <w14:solidFill>
              <w14:schemeClr w14:val="tx1"/>
            </w14:solidFill>
          </w14:textFill>
        </w:rPr>
      </w:pPr>
      <w:bookmarkStart w:id="29" w:name="_Toc60225406"/>
      <w:bookmarkStart w:id="30" w:name="_Toc23713085_WPSOffice_Level2"/>
      <w:bookmarkStart w:id="31" w:name="_Toc30559"/>
      <w:bookmarkStart w:id="32" w:name="_Toc16497"/>
      <w:bookmarkStart w:id="33" w:name="_Toc32734"/>
      <w:bookmarkStart w:id="34" w:name="_Toc30066"/>
      <w:bookmarkStart w:id="35" w:name="_Toc16969"/>
      <w:bookmarkStart w:id="36" w:name="_Toc712403545"/>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29"/>
      <w:bookmarkEnd w:id="30"/>
      <w:bookmarkEnd w:id="31"/>
      <w:bookmarkEnd w:id="32"/>
      <w:bookmarkEnd w:id="33"/>
      <w:bookmarkEnd w:id="34"/>
      <w:bookmarkEnd w:id="35"/>
      <w:bookmarkEnd w:id="36"/>
    </w:p>
    <w:p>
      <w:pPr>
        <w:rPr>
          <w:rFonts w:ascii="微软雅黑" w:hAnsi="微软雅黑" w:eastAsia="微软雅黑" w:cs="微软雅黑"/>
          <w:color w:val="000000" w:themeColor="text1"/>
          <w:szCs w:val="21"/>
          <w14:textFill>
            <w14:solidFill>
              <w14:schemeClr w14:val="tx1"/>
            </w14:solidFill>
          </w14:textFill>
        </w:rPr>
      </w:pPr>
      <w:bookmarkStart w:id="37" w:name="_Toc1261344900_WPSOffice_Level3"/>
      <w:r>
        <w:rPr>
          <w:rFonts w:hint="eastAsia" w:ascii="微软雅黑" w:hAnsi="微软雅黑" w:eastAsia="微软雅黑" w:cs="微软雅黑"/>
          <w:color w:val="000000" w:themeColor="text1"/>
          <w:szCs w:val="21"/>
          <w:lang w:eastAsia="zh-Hans"/>
          <w14:textFill>
            <w14:solidFill>
              <w14:schemeClr w14:val="tx1"/>
            </w14:solidFill>
          </w14:textFill>
        </w:rPr>
        <w:t xml:space="preserve">3.2.1 </w:t>
      </w:r>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生产企业、代理企业、生产兼代理企业具有该申报系统操作权限。</w:t>
      </w:r>
      <w:bookmarkEnd w:id="37"/>
    </w:p>
    <w:p>
      <w:pPr>
        <w:rPr>
          <w:rFonts w:ascii="微软雅黑" w:hAnsi="微软雅黑" w:eastAsia="微软雅黑" w:cs="微软雅黑"/>
          <w:color w:val="000000" w:themeColor="text1"/>
          <w:szCs w:val="21"/>
          <w14:textFill>
            <w14:solidFill>
              <w14:schemeClr w14:val="tx1"/>
            </w14:solidFill>
          </w14:textFill>
        </w:rPr>
      </w:pPr>
      <w:bookmarkStart w:id="38" w:name="_Toc1612654763_WPSOffice_Level3"/>
      <w:r>
        <w:rPr>
          <w:rFonts w:hint="eastAsia" w:ascii="微软雅黑" w:hAnsi="微软雅黑" w:eastAsia="微软雅黑" w:cs="微软雅黑"/>
          <w:color w:val="000000" w:themeColor="text1"/>
          <w:szCs w:val="21"/>
          <w:lang w:eastAsia="zh-Hans"/>
          <w14:textFill>
            <w14:solidFill>
              <w14:schemeClr w14:val="tx1"/>
            </w14:solidFill>
          </w14:textFill>
        </w:rPr>
        <w:t>3.2.</w:t>
      </w:r>
      <w:r>
        <w:rPr>
          <w:rFonts w:hint="eastAsia" w:ascii="微软雅黑" w:hAnsi="微软雅黑" w:eastAsia="微软雅黑" w:cs="微软雅黑"/>
          <w:color w:val="000000" w:themeColor="text1"/>
          <w:szCs w:val="21"/>
          <w14:textFill>
            <w14:solidFill>
              <w14:schemeClr w14:val="tx1"/>
            </w14:solidFill>
          </w14:textFill>
        </w:rPr>
        <w:t xml:space="preserve">2 </w:t>
      </w:r>
      <w:bookmarkEnd w:id="38"/>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生产企业、代理企业、生产兼代理企业在系统内进行企业信息申报、注册证信息申报、产品信息申报等。</w:t>
      </w:r>
    </w:p>
    <w:p>
      <w:pPr>
        <w:pStyle w:val="3"/>
        <w:rPr>
          <w:rFonts w:ascii="微软雅黑" w:hAnsi="微软雅黑" w:eastAsia="微软雅黑" w:cs="微软雅黑"/>
          <w:color w:val="000000" w:themeColor="text1"/>
          <w14:textFill>
            <w14:solidFill>
              <w14:schemeClr w14:val="tx1"/>
            </w14:solidFill>
          </w14:textFill>
        </w:rPr>
      </w:pPr>
      <w:bookmarkStart w:id="39" w:name="_Toc19879"/>
      <w:bookmarkStart w:id="40" w:name="_Toc1689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3耗材申报系统业务流程图</w:t>
      </w:r>
      <w:bookmarkEnd w:id="39"/>
      <w:bookmarkEnd w:id="40"/>
    </w:p>
    <w:p>
      <w:r>
        <w:drawing>
          <wp:inline distT="0" distB="0" distL="114300" distR="114300">
            <wp:extent cx="6574790" cy="6886575"/>
            <wp:effectExtent l="0" t="0" r="16510" b="9525"/>
            <wp:docPr id="1" name="图片 1" descr="lQLPJxaumH12dLLNAjDNAtiwL3geCVqH_loDHx-0GYAUAA_728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QLPJxaumH12dLLNAjDNAtiwL3geCVqH_loDHx-0GYAUAA_728_560"/>
                    <pic:cNvPicPr>
                      <a:picLocks noChangeAspect="1"/>
                    </pic:cNvPicPr>
                  </pic:nvPicPr>
                  <pic:blipFill>
                    <a:blip r:embed="rId5"/>
                    <a:stretch>
                      <a:fillRect/>
                    </a:stretch>
                  </pic:blipFill>
                  <pic:spPr>
                    <a:xfrm>
                      <a:off x="0" y="0"/>
                      <a:ext cx="6574790" cy="6886575"/>
                    </a:xfrm>
                    <a:prstGeom prst="rect">
                      <a:avLst/>
                    </a:prstGeom>
                  </pic:spPr>
                </pic:pic>
              </a:graphicData>
            </a:graphic>
          </wp:inline>
        </w:drawing>
      </w:r>
    </w:p>
    <w:p>
      <w:pPr>
        <w:rPr>
          <w:rFonts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41" w:name="_Toc31470"/>
      <w:bookmarkStart w:id="42" w:name="_Toc30532"/>
      <w:bookmarkStart w:id="43" w:name="_Toc1145048790"/>
      <w:bookmarkStart w:id="44" w:name="_Toc2213"/>
      <w:bookmarkStart w:id="45" w:name="_Toc20670"/>
      <w:bookmarkStart w:id="46" w:name="_Toc3805"/>
      <w:bookmarkStart w:id="47" w:name="_Toc1210240107_WPSOffice_Level1"/>
      <w:bookmarkStart w:id="48" w:name="_Toc60225407"/>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41"/>
      <w:bookmarkEnd w:id="42"/>
      <w:bookmarkEnd w:id="43"/>
      <w:bookmarkEnd w:id="44"/>
      <w:bookmarkEnd w:id="45"/>
      <w:bookmarkEnd w:id="46"/>
      <w:bookmarkEnd w:id="47"/>
      <w:bookmarkEnd w:id="48"/>
    </w:p>
    <w:p>
      <w:pPr>
        <w:pStyle w:val="3"/>
        <w:rPr>
          <w:rFonts w:ascii="微软雅黑" w:hAnsi="微软雅黑" w:eastAsia="微软雅黑" w:cs="微软雅黑"/>
          <w:color w:val="000000" w:themeColor="text1"/>
          <w14:textFill>
            <w14:solidFill>
              <w14:schemeClr w14:val="tx1"/>
            </w14:solidFill>
          </w14:textFill>
        </w:rPr>
      </w:pPr>
      <w:bookmarkStart w:id="49" w:name="_Toc1561"/>
      <w:bookmarkStart w:id="50" w:name="_Toc1643"/>
      <w:bookmarkStart w:id="51" w:name="_Toc11750"/>
      <w:bookmarkStart w:id="52" w:name="_Toc1687857612_WPSOffice_Level2"/>
      <w:bookmarkStart w:id="53" w:name="_Toc30655"/>
      <w:bookmarkStart w:id="54" w:name="_Toc26022"/>
      <w:bookmarkStart w:id="55" w:name="_Toc1234052763"/>
      <w:bookmarkStart w:id="56" w:name="_Toc60225408"/>
      <w:r>
        <w:rPr>
          <w:rFonts w:hint="eastAsia" w:ascii="微软雅黑" w:hAnsi="微软雅黑" w:eastAsia="微软雅黑" w:cs="微软雅黑"/>
          <w:color w:val="000000" w:themeColor="text1"/>
          <w14:textFill>
            <w14:solidFill>
              <w14:schemeClr w14:val="tx1"/>
            </w14:solidFill>
          </w14:textFill>
        </w:rPr>
        <w:t>4.1平台首页</w:t>
      </w:r>
      <w:bookmarkEnd w:id="49"/>
      <w:bookmarkEnd w:id="50"/>
      <w:bookmarkEnd w:id="51"/>
      <w:bookmarkEnd w:id="52"/>
      <w:bookmarkEnd w:id="53"/>
      <w:bookmarkEnd w:id="54"/>
      <w:bookmarkEnd w:id="55"/>
      <w:bookmarkEnd w:id="56"/>
    </w:p>
    <w:p>
      <w:pPr>
        <w:rPr>
          <w:rFonts w:ascii="宋体" w:hAnsi="宋体" w:cs="宋体"/>
          <w:sz w:val="24"/>
        </w:rPr>
      </w:pPr>
      <w:r>
        <w:rPr>
          <w:rFonts w:ascii="宋体" w:hAnsi="宋体" w:cs="宋体"/>
          <w:sz w:val="24"/>
        </w:rPr>
        <w:drawing>
          <wp:inline distT="0" distB="0" distL="114300" distR="114300">
            <wp:extent cx="6468745" cy="3427095"/>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rcRect t="3985"/>
                    <a:stretch>
                      <a:fillRect/>
                    </a:stretch>
                  </pic:blipFill>
                  <pic:spPr>
                    <a:xfrm>
                      <a:off x="0" y="0"/>
                      <a:ext cx="6468745" cy="3427095"/>
                    </a:xfrm>
                    <a:prstGeom prst="rect">
                      <a:avLst/>
                    </a:prstGeom>
                    <a:noFill/>
                    <a:ln w="9525">
                      <a:noFill/>
                    </a:ln>
                  </pic:spPr>
                </pic:pic>
              </a:graphicData>
            </a:graphic>
          </wp:inline>
        </w:drawing>
      </w:r>
    </w:p>
    <w:p>
      <w:pPr>
        <w:rPr>
          <w:rFonts w:ascii="宋体" w:hAnsi="宋体" w:cs="宋体"/>
          <w:sz w:val="24"/>
        </w:rPr>
      </w:pPr>
      <w:bookmarkStart w:id="116" w:name="_GoBack"/>
      <w:r>
        <w:drawing>
          <wp:inline distT="0" distB="0" distL="114300" distR="114300">
            <wp:extent cx="6472555" cy="3009900"/>
            <wp:effectExtent l="0" t="0" r="444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6472555" cy="3009900"/>
                    </a:xfrm>
                    <a:prstGeom prst="rect">
                      <a:avLst/>
                    </a:prstGeom>
                    <a:noFill/>
                    <a:ln>
                      <a:noFill/>
                    </a:ln>
                  </pic:spPr>
                </pic:pic>
              </a:graphicData>
            </a:graphic>
          </wp:inline>
        </w:drawing>
      </w:r>
      <w:bookmarkEnd w:id="116"/>
    </w:p>
    <w:p>
      <w:pPr>
        <w:pStyle w:val="3"/>
        <w:rPr>
          <w:rFonts w:ascii="微软雅黑" w:hAnsi="微软雅黑" w:eastAsia="微软雅黑" w:cs="微软雅黑"/>
          <w:color w:val="000000" w:themeColor="text1"/>
          <w14:textFill>
            <w14:solidFill>
              <w14:schemeClr w14:val="tx1"/>
            </w14:solidFill>
          </w14:textFill>
        </w:rPr>
      </w:pPr>
      <w:bookmarkStart w:id="57" w:name="_Toc782466583"/>
      <w:bookmarkStart w:id="58" w:name="_Toc194005821_WPSOffice_Level2"/>
      <w:bookmarkStart w:id="59" w:name="_Toc27585"/>
      <w:bookmarkStart w:id="60" w:name="_Toc60225413"/>
      <w:bookmarkStart w:id="61" w:name="_Toc5523"/>
      <w:bookmarkStart w:id="62" w:name="_Toc18839"/>
      <w:bookmarkStart w:id="63" w:name="_Toc5343"/>
      <w:bookmarkStart w:id="64" w:name="_Toc3204"/>
      <w:r>
        <w:rPr>
          <w:rFonts w:hint="eastAsia" w:ascii="微软雅黑" w:hAnsi="微软雅黑" w:eastAsia="微软雅黑" w:cs="微软雅黑"/>
          <w:color w:val="000000" w:themeColor="text1"/>
          <w14:textFill>
            <w14:solidFill>
              <w14:schemeClr w14:val="tx1"/>
            </w14:solidFill>
          </w14:textFill>
        </w:rPr>
        <w:t>4.2 用户登录与退出</w:t>
      </w:r>
      <w:bookmarkEnd w:id="57"/>
      <w:bookmarkEnd w:id="58"/>
      <w:bookmarkEnd w:id="59"/>
      <w:bookmarkEnd w:id="60"/>
      <w:bookmarkEnd w:id="61"/>
      <w:bookmarkEnd w:id="62"/>
      <w:bookmarkEnd w:id="63"/>
      <w:bookmarkEnd w:id="64"/>
    </w:p>
    <w:p>
      <w:pPr>
        <w:pStyle w:val="4"/>
        <w:rPr>
          <w:rFonts w:ascii="微软雅黑" w:hAnsi="微软雅黑" w:cs="微软雅黑"/>
          <w:color w:val="000000" w:themeColor="text1"/>
          <w14:textFill>
            <w14:solidFill>
              <w14:schemeClr w14:val="tx1"/>
            </w14:solidFill>
          </w14:textFill>
        </w:rPr>
      </w:pPr>
      <w:bookmarkStart w:id="65" w:name="_Toc60225414"/>
      <w:bookmarkStart w:id="66" w:name="_Toc507"/>
      <w:bookmarkStart w:id="67" w:name="_Toc16867"/>
      <w:bookmarkStart w:id="68" w:name="_Toc775657401_WPSOffice_Level3"/>
      <w:bookmarkStart w:id="69" w:name="_Toc13376"/>
      <w:bookmarkStart w:id="70" w:name="_Toc27861"/>
      <w:bookmarkStart w:id="71" w:name="_Toc16126"/>
      <w:bookmarkStart w:id="72" w:name="_Toc1873489900"/>
      <w:r>
        <w:rPr>
          <w:rFonts w:hint="eastAsia" w:ascii="微软雅黑" w:hAnsi="微软雅黑" w:cs="微软雅黑"/>
          <w:color w:val="000000" w:themeColor="text1"/>
          <w:lang w:eastAsia="zh-Hans"/>
          <w14:textFill>
            <w14:solidFill>
              <w14:schemeClr w14:val="tx1"/>
            </w14:solidFill>
          </w14:textFill>
        </w:rPr>
        <w:t>4.</w:t>
      </w:r>
      <w:r>
        <w:rPr>
          <w:rFonts w:hint="eastAsia" w:ascii="微软雅黑" w:hAnsi="微软雅黑" w:cs="微软雅黑"/>
          <w:color w:val="000000" w:themeColor="text1"/>
          <w14:textFill>
            <w14:solidFill>
              <w14:schemeClr w14:val="tx1"/>
            </w14:solidFill>
          </w14:textFill>
        </w:rPr>
        <w:t>2</w:t>
      </w:r>
      <w:r>
        <w:rPr>
          <w:rFonts w:hint="eastAsia" w:ascii="微软雅黑" w:hAnsi="微软雅黑" w:cs="微软雅黑"/>
          <w:color w:val="000000" w:themeColor="text1"/>
          <w:lang w:eastAsia="zh-Hans"/>
          <w14:textFill>
            <w14:solidFill>
              <w14:schemeClr w14:val="tx1"/>
            </w14:solidFill>
          </w14:textFill>
        </w:rPr>
        <w:t>.1</w:t>
      </w:r>
      <w:r>
        <w:rPr>
          <w:rFonts w:hint="eastAsia" w:ascii="微软雅黑" w:hAnsi="微软雅黑" w:cs="微软雅黑"/>
          <w:color w:val="000000" w:themeColor="text1"/>
          <w14:textFill>
            <w14:solidFill>
              <w14:schemeClr w14:val="tx1"/>
            </w14:solidFill>
          </w14:textFill>
        </w:rPr>
        <w:t>登录</w:t>
      </w:r>
      <w:bookmarkEnd w:id="65"/>
      <w:bookmarkEnd w:id="66"/>
      <w:bookmarkEnd w:id="67"/>
      <w:bookmarkEnd w:id="68"/>
      <w:bookmarkEnd w:id="69"/>
      <w:bookmarkEnd w:id="70"/>
      <w:bookmarkEnd w:id="71"/>
      <w:bookmarkEnd w:id="72"/>
    </w:p>
    <w:p>
      <w:pPr>
        <w:pStyle w:val="27"/>
        <w:spacing w:line="360" w:lineRule="auto"/>
        <w:ind w:firstLine="0" w:firstLineChars="0"/>
        <w:rPr>
          <w:rFonts w:ascii="微软雅黑" w:hAnsi="微软雅黑" w:eastAsia="微软雅黑" w:cs="微软雅黑"/>
          <w:szCs w:val="21"/>
        </w:rPr>
      </w:pPr>
      <w:r>
        <w:rPr>
          <w:rFonts w:hint="eastAsia" w:ascii="微软雅黑" w:hAnsi="微软雅黑" w:eastAsia="微软雅黑" w:cs="微软雅黑"/>
          <w:color w:val="000000" w:themeColor="text1"/>
          <w:szCs w:val="21"/>
          <w14:textFill>
            <w14:solidFill>
              <w14:schemeClr w14:val="tx1"/>
            </w14:solidFill>
          </w14:textFill>
        </w:rPr>
        <w:t>登录方式：普通账户</w:t>
      </w:r>
      <w:r>
        <w:rPr>
          <w:rFonts w:hint="eastAsia" w:ascii="微软雅黑" w:hAnsi="微软雅黑" w:eastAsia="微软雅黑" w:cs="微软雅黑"/>
          <w:color w:val="000000" w:themeColor="text1"/>
          <w:szCs w:val="21"/>
          <w:lang w:eastAsia="zh-Hans"/>
          <w14:textFill>
            <w14:solidFill>
              <w14:schemeClr w14:val="tx1"/>
            </w14:solidFill>
          </w14:textFill>
        </w:rPr>
        <w:t>登录</w:t>
      </w:r>
      <w:r>
        <w:rPr>
          <w:rFonts w:hint="eastAsia" w:ascii="微软雅黑" w:hAnsi="微软雅黑" w:eastAsia="微软雅黑" w:cs="微软雅黑"/>
          <w:color w:val="000000" w:themeColor="text1"/>
          <w:szCs w:val="21"/>
          <w14:textFill>
            <w14:solidFill>
              <w14:schemeClr w14:val="tx1"/>
            </w14:solidFill>
          </w14:textFill>
        </w:rPr>
        <w:t>。</w:t>
      </w:r>
    </w:p>
    <w:p>
      <w:p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使用</w:t>
      </w:r>
      <w:r>
        <w:rPr>
          <w:rFonts w:hint="eastAsia" w:ascii="微软雅黑" w:hAnsi="微软雅黑" w:eastAsia="微软雅黑" w:cs="微软雅黑"/>
          <w:color w:val="000000" w:themeColor="text1"/>
          <w:szCs w:val="21"/>
          <w14:textFill>
            <w14:solidFill>
              <w14:schemeClr w14:val="tx1"/>
            </w14:solidFill>
          </w14:textFill>
        </w:rPr>
        <w:t>用户名和密码登录。</w:t>
      </w:r>
    </w:p>
    <w:p>
      <w:pPr>
        <w:rPr>
          <w:rFonts w:ascii="微软雅黑" w:hAnsi="微软雅黑" w:eastAsia="微软雅黑" w:cs="微软雅黑"/>
          <w:color w:val="000000" w:themeColor="text1"/>
          <w:szCs w:val="21"/>
          <w14:textFill>
            <w14:solidFill>
              <w14:schemeClr w14:val="tx1"/>
            </w14:solidFill>
          </w14:textFill>
        </w:rPr>
      </w:pPr>
      <w:r>
        <w:drawing>
          <wp:inline distT="0" distB="0" distL="0" distR="0">
            <wp:extent cx="6480810" cy="2834640"/>
            <wp:effectExtent l="0" t="0" r="1524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rcRect t="8499"/>
                    <a:stretch>
                      <a:fillRect/>
                    </a:stretch>
                  </pic:blipFill>
                  <pic:spPr>
                    <a:xfrm>
                      <a:off x="0" y="0"/>
                      <a:ext cx="6480810" cy="2834640"/>
                    </a:xfrm>
                    <a:prstGeom prst="rect">
                      <a:avLst/>
                    </a:prstGeom>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73" w:name="_Toc1248201317_WPSOffice_Level3"/>
      <w:bookmarkStart w:id="74" w:name="_Toc18359"/>
      <w:bookmarkStart w:id="75" w:name="_Toc27873"/>
      <w:bookmarkStart w:id="76" w:name="_Toc20707"/>
      <w:bookmarkStart w:id="77" w:name="_Toc1339516986"/>
      <w:bookmarkStart w:id="78" w:name="_Toc15580"/>
      <w:bookmarkStart w:id="79" w:name="_Toc19069"/>
      <w:bookmarkStart w:id="80" w:name="_Toc60225418"/>
      <w:r>
        <w:rPr>
          <w:rFonts w:hint="eastAsia" w:ascii="微软雅黑" w:hAnsi="微软雅黑" w:cs="微软雅黑"/>
          <w:color w:val="000000" w:themeColor="text1"/>
          <w14:textFill>
            <w14:solidFill>
              <w14:schemeClr w14:val="tx1"/>
            </w14:solidFill>
          </w14:textFill>
        </w:rPr>
        <w:t>4.2.2退出</w:t>
      </w:r>
      <w:bookmarkEnd w:id="73"/>
      <w:bookmarkEnd w:id="74"/>
      <w:bookmarkEnd w:id="75"/>
      <w:bookmarkEnd w:id="76"/>
      <w:bookmarkEnd w:id="77"/>
      <w:bookmarkEnd w:id="78"/>
      <w:bookmarkEnd w:id="79"/>
      <w:bookmarkEnd w:id="80"/>
    </w:p>
    <w:p>
      <w:pPr>
        <w:pStyle w:val="27"/>
        <w:ind w:firstLine="0"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点击下图页面右上角的【退出】按钮，退出当前系统，退出操作完成。</w:t>
      </w:r>
    </w:p>
    <w:p>
      <w:pPr>
        <w:jc w:val="cente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0015" cy="2959735"/>
            <wp:effectExtent l="0" t="0" r="6985" b="12065"/>
            <wp:docPr id="4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6"/>
                    <pic:cNvPicPr>
                      <a:picLocks noChangeAspect="1"/>
                    </pic:cNvPicPr>
                  </pic:nvPicPr>
                  <pic:blipFill>
                    <a:blip r:embed="rId9"/>
                    <a:stretch>
                      <a:fillRect/>
                    </a:stretch>
                  </pic:blipFill>
                  <pic:spPr>
                    <a:xfrm>
                      <a:off x="0" y="0"/>
                      <a:ext cx="6470015" cy="2959735"/>
                    </a:xfrm>
                    <a:prstGeom prst="rect">
                      <a:avLst/>
                    </a:prstGeom>
                    <a:noFill/>
                    <a:ln>
                      <a:noFill/>
                    </a:ln>
                  </pic:spPr>
                </pic:pic>
              </a:graphicData>
            </a:graphic>
          </wp:inline>
        </w:drawing>
      </w:r>
    </w:p>
    <w:p>
      <w:pPr>
        <w:jc w:val="center"/>
        <w:rPr>
          <w:rFonts w:ascii="微软雅黑" w:hAnsi="微软雅黑" w:eastAsia="微软雅黑" w:cs="微软雅黑"/>
          <w:color w:val="000000" w:themeColor="text1"/>
          <w:szCs w:val="21"/>
          <w:lang w:eastAsia="zh-Hans"/>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81" w:name="_Toc60225419"/>
      <w:bookmarkStart w:id="82" w:name="_Toc23019"/>
      <w:bookmarkStart w:id="83" w:name="_Toc13712"/>
      <w:bookmarkStart w:id="84" w:name="_Toc8562"/>
      <w:bookmarkStart w:id="85" w:name="_Toc1899270923_WPSOffice_Level1"/>
      <w:bookmarkStart w:id="86" w:name="_Toc14752"/>
      <w:bookmarkStart w:id="87" w:name="_Toc27312"/>
      <w:bookmarkStart w:id="88" w:name="_Toc411222519_WPSOffice_Level2"/>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五</w:t>
      </w:r>
      <w:r>
        <w:rPr>
          <w:rFonts w:hint="eastAsia" w:ascii="微软雅黑" w:hAnsi="微软雅黑" w:eastAsia="微软雅黑" w:cs="微软雅黑"/>
          <w:color w:val="000000" w:themeColor="text1"/>
          <w14:textFill>
            <w14:solidFill>
              <w14:schemeClr w14:val="tx1"/>
            </w14:solidFill>
          </w14:textFill>
        </w:rPr>
        <w:t xml:space="preserve">章 </w:t>
      </w:r>
      <w:bookmarkEnd w:id="81"/>
      <w:bookmarkEnd w:id="82"/>
      <w:bookmarkEnd w:id="83"/>
      <w:bookmarkEnd w:id="84"/>
      <w:bookmarkEnd w:id="85"/>
      <w:bookmarkEnd w:id="86"/>
      <w:r>
        <w:rPr>
          <w:rFonts w:hint="eastAsia" w:ascii="微软雅黑" w:hAnsi="微软雅黑" w:eastAsia="微软雅黑" w:cs="微软雅黑"/>
          <w:color w:val="000000" w:themeColor="text1"/>
          <w14:textFill>
            <w14:solidFill>
              <w14:schemeClr w14:val="tx1"/>
            </w14:solidFill>
          </w14:textFill>
        </w:rPr>
        <w:t>云南省医用耗材申报</w:t>
      </w:r>
      <w:bookmarkEnd w:id="87"/>
    </w:p>
    <w:p>
      <w:pPr>
        <w:pStyle w:val="3"/>
        <w:rPr>
          <w:rFonts w:ascii="微软雅黑" w:hAnsi="微软雅黑" w:eastAsia="微软雅黑" w:cs="微软雅黑"/>
          <w:color w:val="000000" w:themeColor="text1"/>
          <w14:textFill>
            <w14:solidFill>
              <w14:schemeClr w14:val="tx1"/>
            </w14:solidFill>
          </w14:textFill>
        </w:rPr>
      </w:pPr>
      <w:bookmarkStart w:id="89" w:name="_Toc103"/>
      <w:bookmarkStart w:id="90" w:name="_Toc11063"/>
      <w:bookmarkStart w:id="91" w:name="_Toc5352"/>
      <w:bookmarkStart w:id="92" w:name="_Toc3021"/>
      <w:bookmarkStart w:id="93" w:name="_Toc849473853_WPSOffice_Level2"/>
      <w:bookmarkStart w:id="94" w:name="_Toc60225420"/>
      <w:bookmarkStart w:id="95" w:name="_Toc20261"/>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投标企业可进行的操作</w:t>
      </w:r>
      <w:bookmarkEnd w:id="88"/>
      <w:bookmarkEnd w:id="89"/>
      <w:bookmarkEnd w:id="90"/>
      <w:bookmarkEnd w:id="91"/>
      <w:bookmarkEnd w:id="92"/>
      <w:bookmarkEnd w:id="93"/>
      <w:bookmarkEnd w:id="94"/>
      <w:bookmarkEnd w:id="95"/>
    </w:p>
    <w:p>
      <w:pPr>
        <w:pStyle w:val="5"/>
        <w:rPr>
          <w:rFonts w:ascii="微软雅黑" w:hAnsi="微软雅黑" w:eastAsia="微软雅黑" w:cs="微软雅黑"/>
          <w:color w:val="000000" w:themeColor="text1"/>
          <w14:textFill>
            <w14:solidFill>
              <w14:schemeClr w14:val="tx1"/>
            </w14:solidFill>
          </w14:textFill>
        </w:rPr>
      </w:pPr>
      <w:bookmarkStart w:id="96" w:name="_Toc11175"/>
      <w:bookmarkStart w:id="97" w:name="_Toc13202"/>
      <w:bookmarkStart w:id="98" w:name="_Toc14040"/>
      <w:bookmarkStart w:id="99" w:name="_Toc60225421"/>
      <w:bookmarkStart w:id="100" w:name="_Toc32551"/>
      <w:bookmarkStart w:id="101" w:name="_Toc814500787_WPSOffice_Level3"/>
      <w:r>
        <w:rPr>
          <w:rFonts w:hint="eastAsia" w:ascii="微软雅黑" w:hAnsi="微软雅黑" w:eastAsia="微软雅黑" w:cs="微软雅黑"/>
          <w:color w:val="000000" w:themeColor="text1"/>
          <w14:textFill>
            <w14:solidFill>
              <w14:schemeClr w14:val="tx1"/>
            </w14:solidFill>
          </w14:textFill>
        </w:rPr>
        <w:t>前提纪要</w:t>
      </w:r>
      <w:bookmarkEnd w:id="96"/>
      <w:bookmarkEnd w:id="97"/>
      <w:bookmarkEnd w:id="98"/>
      <w:bookmarkEnd w:id="99"/>
      <w:bookmarkEnd w:id="100"/>
      <w:bookmarkEnd w:id="101"/>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投标企业可以在企业申报管理下进行企业信息申报。</w:t>
      </w:r>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投标企业可以在注册证申报管理下进行注册证信息申报。</w:t>
      </w:r>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投标企业可以在产品申报管理下进行产品信息申报和产品信息维护。</w:t>
      </w:r>
    </w:p>
    <w:p>
      <w:pPr>
        <w:numPr>
          <w:ilvl w:val="0"/>
          <w:numId w:val="1"/>
        </w:numPr>
        <w:rPr>
          <w:rFonts w:ascii="宋体" w:hAnsi="宋体" w:cs="宋体"/>
          <w:color w:val="000000" w:themeColor="text1"/>
          <w:sz w:val="24"/>
          <w:lang w:eastAsia="zh-Hans"/>
          <w14:textFill>
            <w14:solidFill>
              <w14:schemeClr w14:val="tx1"/>
            </w14:solidFill>
          </w14:textFill>
        </w:rPr>
      </w:pPr>
      <w:r>
        <w:rPr>
          <w:rFonts w:hint="eastAsia" w:ascii="微软雅黑" w:hAnsi="微软雅黑" w:eastAsia="微软雅黑" w:cs="微软雅黑"/>
          <w:szCs w:val="21"/>
          <w:shd w:val="clear" w:color="auto" w:fill="FFFFFF"/>
        </w:rPr>
        <w:t>同一目录下，同一注册证、价格相同的规格型号按一条进行申报；同一目录下，同一注册证、价格不相同的规格型号应分别申报。</w:t>
      </w:r>
    </w:p>
    <w:p>
      <w:pPr>
        <w:numPr>
          <w:ilvl w:val="0"/>
          <w:numId w:val="1"/>
        </w:numPr>
        <w:rPr>
          <w:rFonts w:hint="eastAsia" w:ascii="微软雅黑" w:hAnsi="微软雅黑" w:eastAsia="微软雅黑" w:cs="微软雅黑"/>
          <w:szCs w:val="21"/>
          <w:shd w:val="clear" w:color="auto" w:fill="FFFFFF"/>
          <w:lang w:eastAsia="zh-Hans"/>
        </w:rPr>
      </w:pPr>
      <w:r>
        <w:rPr>
          <w:rFonts w:hint="eastAsia" w:ascii="微软雅黑" w:hAnsi="微软雅黑" w:eastAsia="微软雅黑" w:cs="微软雅黑"/>
          <w:szCs w:val="21"/>
          <w:shd w:val="clear" w:color="auto" w:fill="FFFFFF"/>
        </w:rPr>
        <w:t>产品信息申报前请先提交企业信息申报。</w:t>
      </w:r>
    </w:p>
    <w:p>
      <w:pPr>
        <w:pStyle w:val="4"/>
        <w:rPr>
          <w:rFonts w:ascii="微软雅黑" w:hAnsi="微软雅黑" w:cs="微软雅黑"/>
          <w:color w:val="000000" w:themeColor="text1"/>
          <w14:textFill>
            <w14:solidFill>
              <w14:schemeClr w14:val="tx1"/>
            </w14:solidFill>
          </w14:textFill>
        </w:rPr>
      </w:pPr>
      <w:bookmarkStart w:id="102" w:name="_Toc27957"/>
      <w:r>
        <w:rPr>
          <w:rFonts w:hint="eastAsia" w:ascii="微软雅黑" w:hAnsi="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14:textFill>
            <w14:solidFill>
              <w14:schemeClr w14:val="tx1"/>
            </w14:solidFill>
          </w14:textFill>
        </w:rPr>
        <w:t>2 申报目录管理</w:t>
      </w:r>
      <w:bookmarkEnd w:id="102"/>
    </w:p>
    <w:p>
      <w:pPr>
        <w:pStyle w:val="5"/>
        <w:rPr>
          <w:rFonts w:ascii="微软雅黑" w:hAnsi="微软雅黑" w:eastAsia="微软雅黑" w:cs="微软雅黑"/>
          <w:color w:val="000000" w:themeColor="text1"/>
          <w14:textFill>
            <w14:solidFill>
              <w14:schemeClr w14:val="tx1"/>
            </w14:solidFill>
          </w14:textFill>
        </w:rPr>
      </w:pPr>
      <w:bookmarkStart w:id="103" w:name="_Toc15294"/>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2</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申报目录查看</w:t>
      </w:r>
      <w:bookmarkEnd w:id="103"/>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投标企业可在申报目录管理下进行查看可以申报的产品目录。用户可通过查询条件筛选产品信息。如下图所示：</w:t>
      </w:r>
    </w:p>
    <w:p>
      <w:r>
        <w:drawing>
          <wp:inline distT="0" distB="0" distL="0" distR="0">
            <wp:extent cx="6480810" cy="301117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stretch>
                      <a:fillRect/>
                    </a:stretch>
                  </pic:blipFill>
                  <pic:spPr>
                    <a:xfrm>
                      <a:off x="0" y="0"/>
                      <a:ext cx="6480810" cy="3011170"/>
                    </a:xfrm>
                    <a:prstGeom prst="rect">
                      <a:avLst/>
                    </a:prstGeom>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104" w:name="_Toc17558"/>
      <w:bookmarkStart w:id="105" w:name="_Toc6154"/>
      <w:bookmarkStart w:id="106" w:name="_Toc32656"/>
      <w:bookmarkStart w:id="107" w:name="_Toc26331"/>
      <w:bookmarkStart w:id="108" w:name="_Toc16179"/>
      <w:r>
        <w:rPr>
          <w:rFonts w:hint="eastAsia" w:ascii="微软雅黑" w:hAnsi="微软雅黑" w:cs="微软雅黑"/>
          <w:color w:val="000000" w:themeColor="text1"/>
          <w:lang w:eastAsia="zh-Hans"/>
          <w14:textFill>
            <w14:solidFill>
              <w14:schemeClr w14:val="tx1"/>
            </w14:solidFill>
          </w14:textFill>
        </w:rPr>
        <w:t>5.</w:t>
      </w:r>
      <w:bookmarkEnd w:id="104"/>
      <w:bookmarkEnd w:id="105"/>
      <w:bookmarkEnd w:id="106"/>
      <w:bookmarkEnd w:id="107"/>
      <w:r>
        <w:rPr>
          <w:rFonts w:hint="eastAsia" w:ascii="微软雅黑" w:hAnsi="微软雅黑" w:cs="微软雅黑"/>
          <w:color w:val="000000" w:themeColor="text1"/>
          <w14:textFill>
            <w14:solidFill>
              <w14:schemeClr w14:val="tx1"/>
            </w14:solidFill>
          </w14:textFill>
        </w:rPr>
        <w:t>3 企业申报管理</w:t>
      </w:r>
      <w:bookmarkEnd w:id="108"/>
    </w:p>
    <w:p>
      <w:pPr>
        <w:pStyle w:val="5"/>
        <w:rPr>
          <w:rFonts w:ascii="微软雅黑" w:hAnsi="微软雅黑" w:eastAsia="微软雅黑" w:cs="微软雅黑"/>
          <w:color w:val="000000" w:themeColor="text1"/>
          <w14:textFill>
            <w14:solidFill>
              <w14:schemeClr w14:val="tx1"/>
            </w14:solidFill>
          </w14:textFill>
        </w:rPr>
      </w:pPr>
      <w:bookmarkStart w:id="109" w:name="_Toc23512"/>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3</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企业信息申报</w:t>
      </w:r>
      <w:bookmarkEnd w:id="109"/>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投标企业可在企业信息申报管理下进行企业信息申报。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企业信息申报操作步骤：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第一步：点击企业信息申报，填报企业基本信息，填写完成后保存；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第二步：保存至企业申报列表，可以点击编辑修改企业信息；</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第三步：企业基本信息填报完成后，点击【提交】按钮，完成企业信息的申报。</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8905" cy="2959735"/>
            <wp:effectExtent l="0" t="0" r="17145" b="1206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11"/>
                    <a:stretch>
                      <a:fillRect/>
                    </a:stretch>
                  </pic:blipFill>
                  <pic:spPr>
                    <a:xfrm>
                      <a:off x="0" y="0"/>
                      <a:ext cx="6478905" cy="2959735"/>
                    </a:xfrm>
                    <a:prstGeom prst="rect">
                      <a:avLst/>
                    </a:prstGeom>
                    <a:noFill/>
                    <a:ln>
                      <a:noFill/>
                    </a:ln>
                  </pic:spPr>
                </pic:pic>
              </a:graphicData>
            </a:graphic>
          </wp:inline>
        </w:drawing>
      </w:r>
    </w:p>
    <w:p>
      <w:pPr>
        <w:rPr>
          <w:rFonts w:hint="eastAsia" w:ascii="微软雅黑" w:hAnsi="微软雅黑" w:eastAsia="微软雅黑" w:cs="微软雅黑"/>
        </w:rPr>
      </w:pPr>
      <w:r>
        <w:rPr>
          <w:rFonts w:hint="eastAsia" w:ascii="微软雅黑" w:hAnsi="微软雅黑" w:eastAsia="微软雅黑" w:cs="微软雅黑"/>
        </w:rPr>
        <w:t>企业信息申报页面：</w:t>
      </w:r>
    </w:p>
    <w:p>
      <w:pPr>
        <w:rPr>
          <w:rFonts w:ascii="微软雅黑" w:hAnsi="微软雅黑" w:eastAsia="微软雅黑" w:cs="微软雅黑"/>
        </w:rPr>
      </w:pPr>
      <w:r>
        <w:drawing>
          <wp:inline distT="0" distB="0" distL="114300" distR="114300">
            <wp:extent cx="6473825" cy="3178175"/>
            <wp:effectExtent l="0" t="0" r="3175" b="31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2"/>
                    <a:stretch>
                      <a:fillRect/>
                    </a:stretch>
                  </pic:blipFill>
                  <pic:spPr>
                    <a:xfrm>
                      <a:off x="0" y="0"/>
                      <a:ext cx="6473825" cy="3178175"/>
                    </a:xfrm>
                    <a:prstGeom prst="rect">
                      <a:avLst/>
                    </a:prstGeom>
                    <a:noFill/>
                    <a:ln>
                      <a:noFill/>
                    </a:ln>
                  </pic:spPr>
                </pic:pic>
              </a:graphicData>
            </a:graphic>
          </wp:inline>
        </w:drawing>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8270" cy="3077210"/>
            <wp:effectExtent l="0" t="0" r="17780" b="889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3"/>
                    <a:stretch>
                      <a:fillRect/>
                    </a:stretch>
                  </pic:blipFill>
                  <pic:spPr>
                    <a:xfrm>
                      <a:off x="0" y="0"/>
                      <a:ext cx="6478270" cy="3077210"/>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shd w:val="clear" w:color="auto" w:fill="FFFFFF"/>
        </w:rPr>
      </w:pPr>
      <w:r>
        <w:drawing>
          <wp:inline distT="0" distB="0" distL="114300" distR="114300">
            <wp:extent cx="6478270" cy="3051175"/>
            <wp:effectExtent l="0" t="0" r="17780" b="15875"/>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14"/>
                    <a:stretch>
                      <a:fillRect/>
                    </a:stretch>
                  </pic:blipFill>
                  <pic:spPr>
                    <a:xfrm>
                      <a:off x="0" y="0"/>
                      <a:ext cx="6478270" cy="3051175"/>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注意：</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请注意：带*为必填项。</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在企业信息申报时，可以先保存，待核查无误后再提交。</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企业信息申报撤销后，所有已提交的产品信息全部撤销，请仔细核对企业信息。</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单条企业信息撤销次数不得超过2次，请仔细核对无误后再提交，避免影响后续申报。</w:t>
      </w:r>
    </w:p>
    <w:p>
      <w:pPr>
        <w:pStyle w:val="4"/>
        <w:rPr>
          <w:rFonts w:ascii="微软雅黑" w:hAnsi="微软雅黑" w:cs="微软雅黑"/>
          <w:color w:val="000000" w:themeColor="text1"/>
          <w14:textFill>
            <w14:solidFill>
              <w14:schemeClr w14:val="tx1"/>
            </w14:solidFill>
          </w14:textFill>
        </w:rPr>
      </w:pPr>
      <w:bookmarkStart w:id="110" w:name="_Toc29778"/>
      <w:bookmarkStart w:id="111" w:name="_Toc5628"/>
      <w:r>
        <w:rPr>
          <w:rFonts w:hint="eastAsia" w:ascii="微软雅黑" w:hAnsi="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14:textFill>
            <w14:solidFill>
              <w14:schemeClr w14:val="tx1"/>
            </w14:solidFill>
          </w14:textFill>
        </w:rPr>
        <w:t>4 注册证申报管理</w:t>
      </w:r>
      <w:bookmarkEnd w:id="110"/>
    </w:p>
    <w:p>
      <w:pPr>
        <w:pStyle w:val="5"/>
        <w:rPr>
          <w:rFonts w:ascii="微软雅黑" w:hAnsi="微软雅黑" w:eastAsia="微软雅黑" w:cs="微软雅黑"/>
          <w:color w:val="000000" w:themeColor="text1"/>
          <w14:textFill>
            <w14:solidFill>
              <w14:schemeClr w14:val="tx1"/>
            </w14:solidFill>
          </w14:textFill>
        </w:rPr>
      </w:pPr>
      <w:bookmarkStart w:id="112" w:name="_Toc30040"/>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4</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注册证信息申报</w:t>
      </w:r>
      <w:bookmarkEnd w:id="112"/>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投标企业可在注册证信息申报管理下进行注册证信息申报。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注册证信息申报操作步骤：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第一步：点击【注册证信息申报】按钮，进入添加注册证信息列表页面勾选完成后保存；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二步：保存至待提交注册证信息申报列表，点击【上传附件】按钮进入注册证信息编辑页面，填写生产企业名称并上传注册证及其附件和上传生产企业授权委托书（进口产品）附件，点击【保存】按钮保存注册证信息；</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第三步：注册证信息填报完成后，点击【提交】按钮，完成注册证信息的申报。</w:t>
      </w:r>
    </w:p>
    <w:p>
      <w:r>
        <w:drawing>
          <wp:inline distT="0" distB="0" distL="114300" distR="114300">
            <wp:extent cx="6468745" cy="3089275"/>
            <wp:effectExtent l="0" t="0" r="8255" b="15875"/>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15"/>
                    <a:stretch>
                      <a:fillRect/>
                    </a:stretch>
                  </pic:blipFill>
                  <pic:spPr>
                    <a:xfrm>
                      <a:off x="0" y="0"/>
                      <a:ext cx="6468745" cy="3089275"/>
                    </a:xfrm>
                    <a:prstGeom prst="rect">
                      <a:avLst/>
                    </a:prstGeom>
                    <a:noFill/>
                    <a:ln>
                      <a:noFill/>
                    </a:ln>
                  </pic:spPr>
                </pic:pic>
              </a:graphicData>
            </a:graphic>
          </wp:inline>
        </w:drawing>
      </w:r>
    </w:p>
    <w:p>
      <w:pPr>
        <w:rPr>
          <w:rFonts w:ascii="微软雅黑" w:hAnsi="微软雅黑" w:eastAsia="微软雅黑" w:cs="微软雅黑"/>
        </w:rPr>
      </w:pPr>
      <w:r>
        <w:rPr>
          <w:rFonts w:hint="eastAsia" w:ascii="微软雅黑" w:hAnsi="微软雅黑" w:eastAsia="微软雅黑" w:cs="微软雅黑"/>
        </w:rPr>
        <w:t>注册证信息申报页面：</w:t>
      </w:r>
    </w:p>
    <w:p>
      <w:pPr>
        <w:rPr>
          <w:rFonts w:ascii="微软雅黑" w:hAnsi="微软雅黑" w:eastAsia="微软雅黑" w:cs="微软雅黑"/>
        </w:rPr>
      </w:pPr>
      <w:r>
        <w:drawing>
          <wp:inline distT="0" distB="0" distL="114300" distR="114300">
            <wp:extent cx="6480175" cy="2703195"/>
            <wp:effectExtent l="0" t="0" r="15875" b="190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r:embed="rId16"/>
                    <a:stretch>
                      <a:fillRect/>
                    </a:stretch>
                  </pic:blipFill>
                  <pic:spPr>
                    <a:xfrm>
                      <a:off x="0" y="0"/>
                      <a:ext cx="6480175" cy="2703195"/>
                    </a:xfrm>
                    <a:prstGeom prst="rect">
                      <a:avLst/>
                    </a:prstGeom>
                    <a:noFill/>
                    <a:ln>
                      <a:noFill/>
                    </a:ln>
                  </pic:spPr>
                </pic:pic>
              </a:graphicData>
            </a:graphic>
          </wp:inline>
        </w:drawing>
      </w:r>
    </w:p>
    <w:p/>
    <w:p/>
    <w:p>
      <w:r>
        <w:drawing>
          <wp:inline distT="0" distB="0" distL="114300" distR="114300">
            <wp:extent cx="6470650" cy="2954020"/>
            <wp:effectExtent l="0" t="0" r="6350" b="17780"/>
            <wp:docPr id="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icPr>
                  <pic:blipFill>
                    <a:blip r:embed="rId17"/>
                    <a:stretch>
                      <a:fillRect/>
                    </a:stretch>
                  </pic:blipFill>
                  <pic:spPr>
                    <a:xfrm>
                      <a:off x="0" y="0"/>
                      <a:ext cx="6470650" cy="2954020"/>
                    </a:xfrm>
                    <a:prstGeom prst="rect">
                      <a:avLst/>
                    </a:prstGeom>
                    <a:noFill/>
                    <a:ln>
                      <a:noFill/>
                    </a:ln>
                  </pic:spPr>
                </pic:pic>
              </a:graphicData>
            </a:graphic>
          </wp:inline>
        </w:drawing>
      </w:r>
    </w:p>
    <w:p/>
    <w:p>
      <w:r>
        <w:drawing>
          <wp:inline distT="0" distB="0" distL="114300" distR="114300">
            <wp:extent cx="6468745" cy="2908935"/>
            <wp:effectExtent l="0" t="0" r="8255" b="5715"/>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icPr>
                  <pic:blipFill>
                    <a:blip r:embed="rId18"/>
                    <a:stretch>
                      <a:fillRect/>
                    </a:stretch>
                  </pic:blipFill>
                  <pic:spPr>
                    <a:xfrm>
                      <a:off x="0" y="0"/>
                      <a:ext cx="6468745" cy="2908935"/>
                    </a:xfrm>
                    <a:prstGeom prst="rect">
                      <a:avLst/>
                    </a:prstGeom>
                    <a:noFill/>
                    <a:ln>
                      <a:noFill/>
                    </a:ln>
                  </pic:spPr>
                </pic:pic>
              </a:graphicData>
            </a:graphic>
          </wp:inline>
        </w:drawing>
      </w:r>
    </w:p>
    <w:p/>
    <w:p>
      <w:r>
        <w:drawing>
          <wp:inline distT="0" distB="0" distL="114300" distR="114300">
            <wp:extent cx="6475730" cy="2939415"/>
            <wp:effectExtent l="0" t="0" r="1270" b="13335"/>
            <wp:docPr id="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icPr>
                  <pic:blipFill>
                    <a:blip r:embed="rId19"/>
                    <a:stretch>
                      <a:fillRect/>
                    </a:stretch>
                  </pic:blipFill>
                  <pic:spPr>
                    <a:xfrm>
                      <a:off x="0" y="0"/>
                      <a:ext cx="6475730" cy="2939415"/>
                    </a:xfrm>
                    <a:prstGeom prst="rect">
                      <a:avLst/>
                    </a:prstGeom>
                    <a:noFill/>
                    <a:ln>
                      <a:noFill/>
                    </a:ln>
                  </pic:spPr>
                </pic:pic>
              </a:graphicData>
            </a:graphic>
          </wp:inline>
        </w:drawing>
      </w:r>
    </w:p>
    <w:p>
      <w:r>
        <w:drawing>
          <wp:inline distT="0" distB="0" distL="114300" distR="114300">
            <wp:extent cx="6470015" cy="3077845"/>
            <wp:effectExtent l="0" t="0" r="6985" b="8255"/>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20"/>
                    <a:stretch>
                      <a:fillRect/>
                    </a:stretch>
                  </pic:blipFill>
                  <pic:spPr>
                    <a:xfrm>
                      <a:off x="0" y="0"/>
                      <a:ext cx="6470015" cy="3077845"/>
                    </a:xfrm>
                    <a:prstGeom prst="rect">
                      <a:avLst/>
                    </a:prstGeom>
                    <a:noFill/>
                    <a:ln>
                      <a:noFill/>
                    </a:ln>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113" w:name="_Toc4573"/>
      <w:r>
        <w:rPr>
          <w:rFonts w:hint="eastAsia" w:ascii="微软雅黑" w:hAnsi="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14:textFill>
            <w14:solidFill>
              <w14:schemeClr w14:val="tx1"/>
            </w14:solidFill>
          </w14:textFill>
        </w:rPr>
        <w:t>5 产品申报管理</w:t>
      </w:r>
      <w:bookmarkEnd w:id="113"/>
    </w:p>
    <w:p>
      <w:pPr>
        <w:pStyle w:val="5"/>
        <w:rPr>
          <w:rFonts w:ascii="微软雅黑" w:hAnsi="微软雅黑" w:eastAsia="微软雅黑" w:cs="微软雅黑"/>
          <w:color w:val="000000" w:themeColor="text1"/>
          <w14:textFill>
            <w14:solidFill>
              <w14:schemeClr w14:val="tx1"/>
            </w14:solidFill>
          </w14:textFill>
        </w:rPr>
      </w:pPr>
      <w:bookmarkStart w:id="114" w:name="_Toc8376"/>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产品信息申报</w:t>
      </w:r>
      <w:bookmarkEnd w:id="114"/>
    </w:p>
    <w:bookmarkEnd w:id="111"/>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投标企业可在产品申报管理下进行产品申报。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产品申报操作步骤：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第一步：点击产品信息申报进入申报界面；</w:t>
      </w:r>
    </w:p>
    <w:p>
      <w:pPr>
        <w:rPr>
          <w:rFonts w:ascii="微软雅黑" w:hAnsi="微软雅黑" w:eastAsia="微软雅黑" w:cs="微软雅黑"/>
          <w:color w:val="FF0000"/>
        </w:rPr>
      </w:pPr>
      <w:r>
        <w:rPr>
          <w:rFonts w:hint="eastAsia" w:ascii="微软雅黑" w:hAnsi="微软雅黑" w:eastAsia="微软雅黑" w:cs="微软雅黑"/>
          <w:color w:val="FF0000"/>
        </w:rPr>
        <w:t>第二步：点击【选择】按钮，选择注册证，完成注册证申报才可进行选择；</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第三步：点击【选择】按钮，选择单件产品（20位医保分类代码）；</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第四步：填写企业报价、选择规格型号（27位医保分类代码）并保存；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第四步：产品基本信息填报完成后，点击【提交】按钮，完成本条产品的申报。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第五步：进入产品信息维护界面，可以点击编辑修改产品信息，也可出现该条产品申报；</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8270" cy="1978025"/>
            <wp:effectExtent l="0" t="0" r="17780" b="3175"/>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r:embed="rId21"/>
                    <a:srcRect b="32261"/>
                    <a:stretch>
                      <a:fillRect/>
                    </a:stretch>
                  </pic:blipFill>
                  <pic:spPr>
                    <a:xfrm>
                      <a:off x="0" y="0"/>
                      <a:ext cx="6478270" cy="1978025"/>
                    </a:xfrm>
                    <a:prstGeom prst="rect">
                      <a:avLst/>
                    </a:prstGeom>
                    <a:noFill/>
                    <a:ln>
                      <a:noFill/>
                    </a:ln>
                  </pic:spPr>
                </pic:pic>
              </a:graphicData>
            </a:graphic>
          </wp:inline>
        </w:drawing>
      </w:r>
    </w:p>
    <w:p>
      <w:r>
        <w:drawing>
          <wp:inline distT="0" distB="0" distL="114300" distR="114300">
            <wp:extent cx="6473190" cy="3154045"/>
            <wp:effectExtent l="0" t="0" r="3810" b="825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22"/>
                    <a:stretch>
                      <a:fillRect/>
                    </a:stretch>
                  </pic:blipFill>
                  <pic:spPr>
                    <a:xfrm>
                      <a:off x="0" y="0"/>
                      <a:ext cx="6473190" cy="3154045"/>
                    </a:xfrm>
                    <a:prstGeom prst="rect">
                      <a:avLst/>
                    </a:prstGeom>
                    <a:noFill/>
                    <a:ln>
                      <a:noFill/>
                    </a:ln>
                  </pic:spPr>
                </pic:pic>
              </a:graphicData>
            </a:graphic>
          </wp:inline>
        </w:drawing>
      </w:r>
    </w:p>
    <w:p>
      <w:pPr>
        <w:rPr>
          <w:rFonts w:ascii="微软雅黑" w:hAnsi="微软雅黑" w:eastAsia="微软雅黑" w:cs="微软雅黑"/>
          <w:szCs w:val="21"/>
        </w:rPr>
      </w:pPr>
      <w:r>
        <w:rPr>
          <w:rFonts w:hint="eastAsia" w:ascii="微软雅黑" w:hAnsi="微软雅黑" w:eastAsia="微软雅黑" w:cs="微软雅黑"/>
          <w:szCs w:val="21"/>
        </w:rPr>
        <w:t>说明：当前页面展示的注册证均为已提交的注册证信息。</w:t>
      </w:r>
    </w:p>
    <w:p>
      <w:r>
        <w:drawing>
          <wp:inline distT="0" distB="0" distL="114300" distR="114300">
            <wp:extent cx="6473825" cy="3234055"/>
            <wp:effectExtent l="0" t="0" r="3175" b="444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3"/>
                    <a:stretch>
                      <a:fillRect/>
                    </a:stretch>
                  </pic:blipFill>
                  <pic:spPr>
                    <a:xfrm>
                      <a:off x="0" y="0"/>
                      <a:ext cx="6473825" cy="3234055"/>
                    </a:xfrm>
                    <a:prstGeom prst="rect">
                      <a:avLst/>
                    </a:prstGeom>
                    <a:noFill/>
                    <a:ln>
                      <a:noFill/>
                    </a:ln>
                  </pic:spPr>
                </pic:pic>
              </a:graphicData>
            </a:graphic>
          </wp:inline>
        </w:drawing>
      </w:r>
    </w:p>
    <w:p>
      <w:pPr>
        <w:rPr>
          <w:rFonts w:hint="eastAsia" w:ascii="微软雅黑" w:hAnsi="微软雅黑" w:eastAsia="微软雅黑" w:cs="微软雅黑"/>
          <w:b/>
          <w:bCs/>
          <w:color w:val="C00000"/>
          <w:szCs w:val="21"/>
        </w:rPr>
      </w:pPr>
      <w:r>
        <w:rPr>
          <w:rFonts w:hint="eastAsia" w:ascii="微软雅黑" w:hAnsi="微软雅黑" w:eastAsia="微软雅黑" w:cs="微软雅黑"/>
          <w:b/>
          <w:bCs/>
          <w:color w:val="C00000"/>
          <w:szCs w:val="21"/>
        </w:rPr>
        <w:t>说明：</w:t>
      </w:r>
      <w:r>
        <w:rPr>
          <w:rFonts w:hint="eastAsia" w:ascii="微软雅黑" w:hAnsi="微软雅黑" w:eastAsia="微软雅黑" w:cs="微软雅黑"/>
          <w:b/>
          <w:bCs/>
          <w:color w:val="C00000"/>
          <w:szCs w:val="21"/>
          <w:lang w:val="en-US" w:eastAsia="zh-CN"/>
        </w:rPr>
        <w:t>1、</w:t>
      </w:r>
      <w:r>
        <w:rPr>
          <w:rFonts w:hint="eastAsia" w:ascii="微软雅黑" w:hAnsi="微软雅黑" w:eastAsia="微软雅黑" w:cs="微软雅黑"/>
          <w:b/>
          <w:bCs/>
          <w:color w:val="C00000"/>
          <w:szCs w:val="21"/>
        </w:rPr>
        <w:t>当前页面展示的是该注册证已在《国家医保信息业务编码标准数据库动态维护》中维护的所有单件产品信息。</w:t>
      </w:r>
    </w:p>
    <w:p>
      <w:pPr>
        <w:rPr>
          <w:rFonts w:hint="default" w:ascii="微软雅黑" w:hAnsi="微软雅黑" w:eastAsia="微软雅黑" w:cs="微软雅黑"/>
          <w:b/>
          <w:bCs/>
          <w:color w:val="C00000"/>
          <w:szCs w:val="21"/>
          <w:lang w:val="en-US" w:eastAsia="zh-CN"/>
        </w:rPr>
      </w:pPr>
      <w:r>
        <w:rPr>
          <w:rFonts w:hint="eastAsia" w:ascii="微软雅黑" w:hAnsi="微软雅黑" w:eastAsia="微软雅黑" w:cs="微软雅黑"/>
          <w:b/>
          <w:bCs/>
          <w:color w:val="C00000"/>
          <w:szCs w:val="21"/>
          <w:lang w:val="en-US" w:eastAsia="zh-CN"/>
        </w:rPr>
        <w:t xml:space="preserve">     2、当规格型号总数量和可选择规格型号数量不一致时，原则上以可选择规格型号数量为准；申报时已提交的规格型号后数量随之减少，撤销已提交该规格型号后，数量则恢复。</w:t>
      </w:r>
    </w:p>
    <w:p>
      <w:pPr>
        <w:rPr>
          <w:rFonts w:hint="eastAsia" w:ascii="微软雅黑" w:hAnsi="微软雅黑" w:eastAsia="微软雅黑" w:cs="微软雅黑"/>
        </w:rPr>
      </w:pPr>
      <w:r>
        <w:rPr>
          <w:rFonts w:hint="eastAsia" w:ascii="微软雅黑" w:hAnsi="微软雅黑" w:eastAsia="微软雅黑" w:cs="微软雅黑"/>
        </w:rPr>
        <w:t>申报产品信息：</w:t>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注册证信息</w:t>
      </w:r>
    </w:p>
    <w:p>
      <w:pPr>
        <w:rPr>
          <w:rFonts w:hint="eastAsia" w:ascii="微软雅黑" w:hAnsi="微软雅黑" w:eastAsia="微软雅黑" w:cs="微软雅黑"/>
          <w:lang w:eastAsia="zh-CN"/>
        </w:rPr>
      </w:pPr>
      <w:r>
        <w:drawing>
          <wp:inline distT="0" distB="0" distL="114300" distR="114300">
            <wp:extent cx="6478270" cy="2434590"/>
            <wp:effectExtent l="0" t="0" r="17780" b="3810"/>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24"/>
                    <a:stretch>
                      <a:fillRect/>
                    </a:stretch>
                  </pic:blipFill>
                  <pic:spPr>
                    <a:xfrm>
                      <a:off x="0" y="0"/>
                      <a:ext cx="6478270" cy="2434590"/>
                    </a:xfrm>
                    <a:prstGeom prst="rect">
                      <a:avLst/>
                    </a:prstGeom>
                    <a:noFill/>
                    <a:ln>
                      <a:noFill/>
                    </a:ln>
                  </pic:spPr>
                </pic:pic>
              </a:graphicData>
            </a:graphic>
          </wp:inline>
        </w:drawing>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单件产品信息</w:t>
      </w:r>
    </w:p>
    <w:p>
      <w:r>
        <w:drawing>
          <wp:inline distT="0" distB="0" distL="114300" distR="114300">
            <wp:extent cx="6471285" cy="1483360"/>
            <wp:effectExtent l="0" t="0" r="5715" b="254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25"/>
                    <a:stretch>
                      <a:fillRect/>
                    </a:stretch>
                  </pic:blipFill>
                  <pic:spPr>
                    <a:xfrm>
                      <a:off x="0" y="0"/>
                      <a:ext cx="6471285" cy="1483360"/>
                    </a:xfrm>
                    <a:prstGeom prst="rect">
                      <a:avLst/>
                    </a:prstGeom>
                    <a:noFill/>
                    <a:ln>
                      <a:noFill/>
                    </a:ln>
                  </pic:spPr>
                </pic:pic>
              </a:graphicData>
            </a:graphic>
          </wp:inline>
        </w:drawing>
      </w:r>
    </w:p>
    <w:p>
      <w:pPr>
        <w:rPr>
          <w:rFonts w:hint="eastAsia"/>
          <w:lang w:eastAsia="zh-CN"/>
        </w:rPr>
      </w:pP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价格申报信息</w:t>
      </w:r>
    </w:p>
    <w:p>
      <w:pPr>
        <w:rPr>
          <w:rFonts w:hint="eastAsia" w:ascii="微软雅黑" w:hAnsi="微软雅黑" w:eastAsia="微软雅黑" w:cs="微软雅黑"/>
          <w:lang w:eastAsia="zh-CN"/>
        </w:rPr>
      </w:pPr>
      <w:r>
        <w:drawing>
          <wp:inline distT="0" distB="0" distL="114300" distR="114300">
            <wp:extent cx="6478270" cy="1429385"/>
            <wp:effectExtent l="0" t="0" r="17780" b="18415"/>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26"/>
                    <a:stretch>
                      <a:fillRect/>
                    </a:stretch>
                  </pic:blipFill>
                  <pic:spPr>
                    <a:xfrm>
                      <a:off x="0" y="0"/>
                      <a:ext cx="6478270" cy="1429385"/>
                    </a:xfrm>
                    <a:prstGeom prst="rect">
                      <a:avLst/>
                    </a:prstGeom>
                    <a:noFill/>
                    <a:ln>
                      <a:noFill/>
                    </a:ln>
                  </pic:spPr>
                </pic:pic>
              </a:graphicData>
            </a:graphic>
          </wp:inline>
        </w:drawing>
      </w:r>
    </w:p>
    <w:p>
      <w:pPr>
        <w:rPr>
          <w:rFonts w:hint="eastAsia" w:ascii="微软雅黑" w:hAnsi="微软雅黑" w:eastAsia="微软雅黑" w:cs="微软雅黑"/>
          <w:lang w:eastAsia="zh-CN"/>
        </w:rPr>
      </w:pPr>
      <w:r>
        <w:drawing>
          <wp:inline distT="0" distB="0" distL="114300" distR="114300">
            <wp:extent cx="6471920" cy="1409065"/>
            <wp:effectExtent l="0" t="0" r="5080" b="635"/>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27"/>
                    <a:stretch>
                      <a:fillRect/>
                    </a:stretch>
                  </pic:blipFill>
                  <pic:spPr>
                    <a:xfrm>
                      <a:off x="0" y="0"/>
                      <a:ext cx="6471920" cy="1409065"/>
                    </a:xfrm>
                    <a:prstGeom prst="rect">
                      <a:avLst/>
                    </a:prstGeom>
                    <a:noFill/>
                    <a:ln>
                      <a:noFill/>
                    </a:ln>
                  </pic:spPr>
                </pic:pic>
              </a:graphicData>
            </a:graphic>
          </wp:inline>
        </w:drawing>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注意：</w:t>
      </w:r>
    </w:p>
    <w:p>
      <w:pPr>
        <w:numPr>
          <w:ilvl w:val="0"/>
          <w:numId w:val="0"/>
        </w:num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申报方式二选一；</w:t>
      </w:r>
    </w:p>
    <w:p>
      <w:pPr>
        <w:numPr>
          <w:ilvl w:val="1"/>
          <w:numId w:val="3"/>
        </w:numPr>
        <w:ind w:left="840" w:leftChars="0" w:hanging="420" w:firstLineChars="0"/>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省级采购平台全国最低实际采购价：需要填写省级采购平台全国最低实际采购价、选择省级采购平台全国最低实际采购价来源、上传省级采购平台全国最低实际采购价证明材料。</w:t>
      </w:r>
    </w:p>
    <w:p>
      <w:pPr>
        <w:numPr>
          <w:ilvl w:val="1"/>
          <w:numId w:val="3"/>
        </w:numPr>
        <w:ind w:left="840" w:leftChars="0" w:hanging="420" w:firstLineChars="0"/>
      </w:pPr>
      <w:r>
        <w:rPr>
          <w:rFonts w:hint="eastAsia" w:ascii="微软雅黑" w:hAnsi="微软雅黑" w:eastAsia="微软雅黑" w:cs="微软雅黑"/>
          <w:szCs w:val="21"/>
          <w:shd w:val="clear" w:color="auto" w:fill="FFFFFF"/>
        </w:rPr>
        <w:t>不具备全国省级采购平台中标（挂网）价格，医疗机构急需的医用耗材</w:t>
      </w:r>
      <w:r>
        <w:rPr>
          <w:rFonts w:hint="eastAsia" w:ascii="微软雅黑" w:hAnsi="微软雅黑" w:eastAsia="微软雅黑" w:cs="微软雅黑"/>
          <w:szCs w:val="21"/>
          <w:shd w:val="clear" w:color="auto" w:fill="FFFFFF"/>
          <w:lang w:eastAsia="zh-CN"/>
        </w:rPr>
        <w:t>：</w:t>
      </w:r>
      <w:r>
        <w:rPr>
          <w:rFonts w:hint="eastAsia" w:ascii="微软雅黑" w:hAnsi="微软雅黑" w:eastAsia="微软雅黑" w:cs="微软雅黑"/>
          <w:szCs w:val="21"/>
          <w:shd w:val="clear" w:color="auto" w:fill="FFFFFF"/>
          <w:lang w:val="en-US" w:eastAsia="zh-CN"/>
        </w:rPr>
        <w:t>需要填写最小使用单位(计价单位)的合同/需求价格、</w:t>
      </w:r>
      <w:r>
        <w:rPr>
          <w:rFonts w:hint="eastAsia" w:ascii="微软雅黑" w:hAnsi="微软雅黑" w:eastAsia="微软雅黑" w:cs="微软雅黑"/>
          <w:szCs w:val="21"/>
          <w:shd w:val="clear" w:color="auto" w:fill="FFFFFF"/>
        </w:rPr>
        <w:t>云南省内二级及以上公立医疗机构采购</w:t>
      </w:r>
      <w:r>
        <w:rPr>
          <w:rFonts w:hint="eastAsia" w:ascii="微软雅黑" w:hAnsi="微软雅黑" w:eastAsia="微软雅黑" w:cs="微软雅黑"/>
          <w:szCs w:val="21"/>
          <w:shd w:val="clear" w:color="auto" w:fill="FFFFFF"/>
          <w:lang w:val="en-US" w:eastAsia="zh-CN"/>
        </w:rPr>
        <w:t>合同</w:t>
      </w:r>
      <w:r>
        <w:rPr>
          <w:rFonts w:hint="eastAsia" w:ascii="微软雅黑" w:hAnsi="微软雅黑" w:eastAsia="微软雅黑" w:cs="微软雅黑"/>
          <w:szCs w:val="21"/>
          <w:shd w:val="clear" w:color="auto" w:fill="FFFFFF"/>
        </w:rPr>
        <w:t>证明材料</w:t>
      </w:r>
      <w:r>
        <w:rPr>
          <w:rFonts w:hint="eastAsia" w:ascii="微软雅黑" w:hAnsi="微软雅黑" w:eastAsia="微软雅黑" w:cs="微软雅黑"/>
          <w:szCs w:val="21"/>
          <w:shd w:val="clear" w:color="auto" w:fill="FFFFFF"/>
          <w:lang w:eastAsia="zh-CN"/>
        </w:rPr>
        <w:t>。</w:t>
      </w:r>
    </w:p>
    <w:p>
      <w:r>
        <w:drawing>
          <wp:inline distT="0" distB="0" distL="114300" distR="114300">
            <wp:extent cx="6478270" cy="1741805"/>
            <wp:effectExtent l="0" t="0" r="0" b="0"/>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icPr>
                  <pic:blipFill>
                    <a:blip r:embed="rId28"/>
                    <a:srcRect b="12476"/>
                    <a:stretch>
                      <a:fillRect/>
                    </a:stretch>
                  </pic:blipFill>
                  <pic:spPr>
                    <a:xfrm>
                      <a:off x="0" y="0"/>
                      <a:ext cx="6478270" cy="1741805"/>
                    </a:xfrm>
                    <a:prstGeom prst="rect">
                      <a:avLst/>
                    </a:prstGeom>
                    <a:noFill/>
                    <a:ln>
                      <a:noFill/>
                    </a:ln>
                  </pic:spPr>
                </pic:pic>
              </a:graphicData>
            </a:graphic>
          </wp:inline>
        </w:drawing>
      </w:r>
    </w:p>
    <w:p>
      <w:r>
        <w:drawing>
          <wp:inline distT="0" distB="0" distL="114300" distR="114300">
            <wp:extent cx="6472555" cy="1901825"/>
            <wp:effectExtent l="0" t="0" r="4445" b="3175"/>
            <wp:docPr id="3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pic:cNvPicPr>
                      <a:picLocks noChangeAspect="1"/>
                    </pic:cNvPicPr>
                  </pic:nvPicPr>
                  <pic:blipFill>
                    <a:blip r:embed="rId29"/>
                    <a:srcRect b="34971"/>
                    <a:stretch>
                      <a:fillRect/>
                    </a:stretch>
                  </pic:blipFill>
                  <pic:spPr>
                    <a:xfrm>
                      <a:off x="0" y="0"/>
                      <a:ext cx="6472555" cy="1901825"/>
                    </a:xfrm>
                    <a:prstGeom prst="rect">
                      <a:avLst/>
                    </a:prstGeom>
                    <a:noFill/>
                    <a:ln>
                      <a:noFill/>
                    </a:ln>
                  </pic:spPr>
                </pic:pic>
              </a:graphicData>
            </a:graphic>
          </wp:inline>
        </w:drawing>
      </w:r>
    </w:p>
    <w:p>
      <w:r>
        <w:drawing>
          <wp:inline distT="0" distB="0" distL="114300" distR="114300">
            <wp:extent cx="6446520" cy="1767205"/>
            <wp:effectExtent l="0" t="0" r="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30"/>
                    <a:srcRect t="43698" r="314"/>
                    <a:stretch>
                      <a:fillRect/>
                    </a:stretch>
                  </pic:blipFill>
                  <pic:spPr>
                    <a:xfrm>
                      <a:off x="0" y="0"/>
                      <a:ext cx="6446520" cy="1767205"/>
                    </a:xfrm>
                    <a:prstGeom prst="rect">
                      <a:avLst/>
                    </a:prstGeom>
                    <a:noFill/>
                    <a:ln>
                      <a:noFill/>
                    </a:ln>
                  </pic:spPr>
                </pic:pic>
              </a:graphicData>
            </a:graphic>
          </wp:inline>
        </w:drawing>
      </w:r>
    </w:p>
    <w:p>
      <w:pPr>
        <w:rPr>
          <w:rFonts w:ascii="微软雅黑" w:hAnsi="微软雅黑" w:eastAsia="微软雅黑" w:cs="微软雅黑"/>
          <w:szCs w:val="21"/>
        </w:rPr>
      </w:pPr>
      <w:r>
        <w:rPr>
          <w:rFonts w:hint="eastAsia" w:ascii="微软雅黑" w:hAnsi="微软雅黑" w:eastAsia="微软雅黑" w:cs="微软雅黑"/>
          <w:szCs w:val="21"/>
        </w:rPr>
        <w:t>注意：</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请注意：带*为必填项。</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在产品信息申报前，请先提交企业信息申报和注册证信息申报。</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在产品信息申报时，可以先保存，待核查无误后再提交。</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 xml:space="preserve">同一目录下，同一注册证、价格相同的规格型号按一条进行申报；同一目录下，同一注册证、价格不相同的规格型号应分别申报。 </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企业申报价按最小使用单位（计价单位）报价；企业申报价不能高于最低实际采购价。</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企业可根据自己产品自行选择采购品种进行申报。</w:t>
      </w:r>
    </w:p>
    <w:p>
      <w:pPr>
        <w:numPr>
          <w:ilvl w:val="0"/>
          <w:numId w:val="4"/>
        </w:numPr>
        <w:rPr>
          <w:rFonts w:hint="default"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流水号和企业名称自动生成，无需填写。</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 xml:space="preserve">省级采购平台全国最低实际采购价来源，包含云南省（半年内云南省的交易记录）。                                                 </w:t>
      </w:r>
    </w:p>
    <w:p>
      <w:pPr>
        <w:numPr>
          <w:ilvl w:val="0"/>
          <w:numId w:val="4"/>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附件上传：附件格式要求：（1）文件后缀名为.pdf的文件；（2）同一处最多上传 一个文件；（3）单个文件大小不得大于10M；（4）如需上传多个文件，可以做在同一个PDF上进行上传。</w:t>
      </w:r>
    </w:p>
    <w:p/>
    <w:p>
      <w:pPr>
        <w:pStyle w:val="5"/>
      </w:pPr>
      <w:bookmarkStart w:id="115" w:name="_Toc15700"/>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w:t>
      </w:r>
      <w:r>
        <w:rPr>
          <w:rFonts w:hint="eastAsia" w:ascii="微软雅黑" w:hAnsi="微软雅黑" w:eastAsia="微软雅黑" w:cs="微软雅黑"/>
          <w:color w:val="000000" w:themeColor="text1"/>
          <w14:textFill>
            <w14:solidFill>
              <w14:schemeClr w14:val="tx1"/>
            </w14:solidFill>
          </w14:textFill>
        </w:rPr>
        <w:t>2 产品信息维护</w:t>
      </w:r>
      <w:bookmarkEnd w:id="115"/>
    </w:p>
    <w:p>
      <w:pPr>
        <w:rPr>
          <w:rFonts w:ascii="微软雅黑" w:hAnsi="微软雅黑" w:eastAsia="微软雅黑" w:cs="微软雅黑"/>
          <w:szCs w:val="21"/>
          <w:shd w:val="clear" w:color="auto" w:fill="FFFFFF"/>
        </w:rPr>
      </w:pPr>
      <w:r>
        <w:drawing>
          <wp:inline distT="0" distB="0" distL="114300" distR="114300">
            <wp:extent cx="6470015" cy="2084070"/>
            <wp:effectExtent l="0" t="0" r="0" b="0"/>
            <wp:docPr id="3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pic:cNvPicPr>
                      <a:picLocks noChangeAspect="1"/>
                    </pic:cNvPicPr>
                  </pic:nvPicPr>
                  <pic:blipFill>
                    <a:blip r:embed="rId31"/>
                    <a:srcRect b="38292"/>
                    <a:stretch>
                      <a:fillRect/>
                    </a:stretch>
                  </pic:blipFill>
                  <pic:spPr>
                    <a:xfrm>
                      <a:off x="0" y="0"/>
                      <a:ext cx="6470015" cy="2084070"/>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rPr>
      </w:pPr>
      <w:r>
        <w:rPr>
          <w:rFonts w:hint="eastAsia" w:ascii="微软雅黑" w:hAnsi="微软雅黑" w:eastAsia="微软雅黑" w:cs="微软雅黑"/>
          <w:sz w:val="21"/>
          <w:szCs w:val="21"/>
        </w:rPr>
        <w:t>未提交产品申报列表：</w:t>
      </w:r>
    </w:p>
    <w:p>
      <w:pPr>
        <w:pStyle w:val="16"/>
        <w:widowControl/>
        <w:shd w:val="clear" w:color="auto" w:fill="FFFFFF"/>
        <w:spacing w:beforeAutospacing="0" w:after="150" w:afterAutospacing="0"/>
        <w:rPr>
          <w:rFonts w:ascii="宋体" w:hAnsi="宋体" w:cs="宋体"/>
          <w:shd w:val="clear" w:color="auto" w:fill="FFFFFF"/>
        </w:rPr>
      </w:pPr>
      <w:r>
        <w:drawing>
          <wp:inline distT="0" distB="0" distL="114300" distR="114300">
            <wp:extent cx="6468745" cy="3098800"/>
            <wp:effectExtent l="0" t="0" r="8255" b="6350"/>
            <wp:docPr id="3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1"/>
                    <pic:cNvPicPr>
                      <a:picLocks noChangeAspect="1"/>
                    </pic:cNvPicPr>
                  </pic:nvPicPr>
                  <pic:blipFill>
                    <a:blip r:embed="rId32"/>
                    <a:srcRect b="7647"/>
                    <a:stretch>
                      <a:fillRect/>
                    </a:stretch>
                  </pic:blipFill>
                  <pic:spPr>
                    <a:xfrm>
                      <a:off x="0" y="0"/>
                      <a:ext cx="6468745" cy="3098800"/>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rPr>
      </w:pPr>
      <w:r>
        <w:rPr>
          <w:rFonts w:hint="eastAsia" w:ascii="微软雅黑" w:hAnsi="微软雅黑" w:eastAsia="微软雅黑" w:cs="微软雅黑"/>
          <w:sz w:val="21"/>
          <w:szCs w:val="21"/>
        </w:rPr>
        <w:t>已提交产品申报列表：</w:t>
      </w:r>
    </w:p>
    <w:p>
      <w:pPr>
        <w:pStyle w:val="16"/>
        <w:widowControl/>
        <w:shd w:val="clear" w:color="auto" w:fill="FFFFFF"/>
        <w:spacing w:beforeAutospacing="0" w:after="150" w:afterAutospacing="0"/>
        <w:rPr>
          <w:rFonts w:ascii="微软雅黑" w:hAnsi="微软雅黑" w:eastAsia="微软雅黑" w:cs="微软雅黑"/>
          <w:sz w:val="21"/>
          <w:szCs w:val="21"/>
        </w:rPr>
      </w:pPr>
      <w:r>
        <w:drawing>
          <wp:inline distT="0" distB="0" distL="114300" distR="114300">
            <wp:extent cx="6478270" cy="2661285"/>
            <wp:effectExtent l="0" t="0" r="17780" b="5715"/>
            <wp:docPr id="4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
                    <pic:cNvPicPr>
                      <a:picLocks noChangeAspect="1"/>
                    </pic:cNvPicPr>
                  </pic:nvPicPr>
                  <pic:blipFill>
                    <a:blip r:embed="rId33"/>
                    <a:stretch>
                      <a:fillRect/>
                    </a:stretch>
                  </pic:blipFill>
                  <pic:spPr>
                    <a:xfrm>
                      <a:off x="0" y="0"/>
                      <a:ext cx="6478270" cy="2661285"/>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rPr>
      </w:pPr>
      <w:r>
        <w:rPr>
          <w:rFonts w:hint="eastAsia" w:ascii="微软雅黑" w:hAnsi="微软雅黑" w:eastAsia="微软雅黑" w:cs="微软雅黑"/>
          <w:sz w:val="21"/>
          <w:szCs w:val="21"/>
        </w:rPr>
        <w:t>已删除产品申报列表：</w:t>
      </w:r>
    </w:p>
    <w:p>
      <w:pPr>
        <w:rPr>
          <w:lang w:eastAsia="zh-Hans"/>
        </w:rPr>
      </w:pPr>
      <w:r>
        <w:drawing>
          <wp:inline distT="0" distB="0" distL="114300" distR="114300">
            <wp:extent cx="6475095" cy="2284095"/>
            <wp:effectExtent l="0" t="0" r="0" b="0"/>
            <wp:docPr id="4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pic:cNvPicPr>
                      <a:picLocks noChangeAspect="1"/>
                    </pic:cNvPicPr>
                  </pic:nvPicPr>
                  <pic:blipFill>
                    <a:blip r:embed="rId34"/>
                    <a:srcRect b="24401"/>
                    <a:stretch>
                      <a:fillRect/>
                    </a:stretch>
                  </pic:blipFill>
                  <pic:spPr>
                    <a:xfrm>
                      <a:off x="0" y="0"/>
                      <a:ext cx="6475095" cy="2284095"/>
                    </a:xfrm>
                    <a:prstGeom prst="rect">
                      <a:avLst/>
                    </a:prstGeom>
                    <a:noFill/>
                    <a:ln>
                      <a:noFill/>
                    </a:ln>
                  </pic:spPr>
                </pic:pic>
              </a:graphicData>
            </a:graphic>
          </wp:inline>
        </w:drawing>
      </w: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Ebrima">
    <w:panose1 w:val="02000000000000000000"/>
    <w:charset w:val="00"/>
    <w:family w:val="auto"/>
    <w:pitch w:val="default"/>
    <w:sig w:usb0="A000505F" w:usb1="02000041" w:usb2="00000800" w:usb3="00000404"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692855"/>
    <w:multiLevelType w:val="multilevel"/>
    <w:tmpl w:val="D7692855"/>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1C09EDFE"/>
    <w:multiLevelType w:val="singleLevel"/>
    <w:tmpl w:val="1C09EDFE"/>
    <w:lvl w:ilvl="0" w:tentative="0">
      <w:start w:val="1"/>
      <w:numFmt w:val="decimal"/>
      <w:lvlText w:val="%1."/>
      <w:lvlJc w:val="left"/>
      <w:pPr>
        <w:tabs>
          <w:tab w:val="left" w:pos="312"/>
        </w:tabs>
      </w:pPr>
    </w:lvl>
  </w:abstractNum>
  <w:abstractNum w:abstractNumId="2">
    <w:nsid w:val="5D9A0062"/>
    <w:multiLevelType w:val="multilevel"/>
    <w:tmpl w:val="5D9A0062"/>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3">
    <w:nsid w:val="5F8E34A2"/>
    <w:multiLevelType w:val="singleLevel"/>
    <w:tmpl w:val="5F8E34A2"/>
    <w:lvl w:ilvl="0" w:tentative="0">
      <w:start w:val="1"/>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ZjNjIzOWNmMDE3ZTJkMGZiMjJmMTA1MDhiMjFlMzE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D0711"/>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30FE"/>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21198"/>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0FA4"/>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2293"/>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905D63"/>
    <w:rsid w:val="02BA4C48"/>
    <w:rsid w:val="03B629A7"/>
    <w:rsid w:val="04C211C9"/>
    <w:rsid w:val="05014417"/>
    <w:rsid w:val="0563447D"/>
    <w:rsid w:val="06C1554D"/>
    <w:rsid w:val="06D17AD2"/>
    <w:rsid w:val="07467D6C"/>
    <w:rsid w:val="07FB5E45"/>
    <w:rsid w:val="082B16FC"/>
    <w:rsid w:val="0AE26040"/>
    <w:rsid w:val="0B4A4538"/>
    <w:rsid w:val="0B6CB9D0"/>
    <w:rsid w:val="0C31D61D"/>
    <w:rsid w:val="0CDF2565"/>
    <w:rsid w:val="0DC4760E"/>
    <w:rsid w:val="0E685611"/>
    <w:rsid w:val="0EBA207F"/>
    <w:rsid w:val="0F8C2665"/>
    <w:rsid w:val="0F975231"/>
    <w:rsid w:val="0F98AB21"/>
    <w:rsid w:val="0FA3BF19"/>
    <w:rsid w:val="0FFF563A"/>
    <w:rsid w:val="0FFF9643"/>
    <w:rsid w:val="104F4A9C"/>
    <w:rsid w:val="108955CB"/>
    <w:rsid w:val="11B5470C"/>
    <w:rsid w:val="11C056FD"/>
    <w:rsid w:val="12CE5504"/>
    <w:rsid w:val="12E76644"/>
    <w:rsid w:val="13190B8B"/>
    <w:rsid w:val="132461F6"/>
    <w:rsid w:val="13632DBB"/>
    <w:rsid w:val="13815D2A"/>
    <w:rsid w:val="13B9283A"/>
    <w:rsid w:val="13D7310B"/>
    <w:rsid w:val="14B0678E"/>
    <w:rsid w:val="14DE2FFF"/>
    <w:rsid w:val="14F33708"/>
    <w:rsid w:val="14F709FA"/>
    <w:rsid w:val="15783359"/>
    <w:rsid w:val="15F50AEF"/>
    <w:rsid w:val="17DD2095"/>
    <w:rsid w:val="17FF61E9"/>
    <w:rsid w:val="1832048F"/>
    <w:rsid w:val="1977EF1C"/>
    <w:rsid w:val="1B5F4309"/>
    <w:rsid w:val="1B850AE0"/>
    <w:rsid w:val="1B950C9D"/>
    <w:rsid w:val="1CC02AF3"/>
    <w:rsid w:val="1CD1385C"/>
    <w:rsid w:val="1CE54399"/>
    <w:rsid w:val="1DE51A95"/>
    <w:rsid w:val="1E4546F1"/>
    <w:rsid w:val="1E91399D"/>
    <w:rsid w:val="1EC25D3F"/>
    <w:rsid w:val="1F3FAC13"/>
    <w:rsid w:val="1F6F872B"/>
    <w:rsid w:val="1FD698DE"/>
    <w:rsid w:val="1FF1ED6F"/>
    <w:rsid w:val="20DE00A9"/>
    <w:rsid w:val="21A85206"/>
    <w:rsid w:val="22B72884"/>
    <w:rsid w:val="22C67A44"/>
    <w:rsid w:val="22E407AC"/>
    <w:rsid w:val="22F40DED"/>
    <w:rsid w:val="23661620"/>
    <w:rsid w:val="23BF1685"/>
    <w:rsid w:val="243565D7"/>
    <w:rsid w:val="25996B16"/>
    <w:rsid w:val="267BE8C6"/>
    <w:rsid w:val="27126DA8"/>
    <w:rsid w:val="273697FC"/>
    <w:rsid w:val="279E193D"/>
    <w:rsid w:val="27AE0BD7"/>
    <w:rsid w:val="27DAD983"/>
    <w:rsid w:val="28FF7BE5"/>
    <w:rsid w:val="293F3D14"/>
    <w:rsid w:val="296B3BC6"/>
    <w:rsid w:val="29E741B6"/>
    <w:rsid w:val="2A384142"/>
    <w:rsid w:val="2A5C5603"/>
    <w:rsid w:val="2B1F890E"/>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09C01A1"/>
    <w:rsid w:val="317B2F63"/>
    <w:rsid w:val="31B66184"/>
    <w:rsid w:val="31E561C6"/>
    <w:rsid w:val="31EB57FD"/>
    <w:rsid w:val="322370F1"/>
    <w:rsid w:val="327E7098"/>
    <w:rsid w:val="32DB1F66"/>
    <w:rsid w:val="3321170B"/>
    <w:rsid w:val="33296E4A"/>
    <w:rsid w:val="339F16F5"/>
    <w:rsid w:val="33F56319"/>
    <w:rsid w:val="33F72D7C"/>
    <w:rsid w:val="33F78765"/>
    <w:rsid w:val="33FFA7EE"/>
    <w:rsid w:val="33FFAB5F"/>
    <w:rsid w:val="34ED00E4"/>
    <w:rsid w:val="34FF8978"/>
    <w:rsid w:val="35632AC6"/>
    <w:rsid w:val="35EC6319"/>
    <w:rsid w:val="367CD8D3"/>
    <w:rsid w:val="36F728CB"/>
    <w:rsid w:val="36FC3301"/>
    <w:rsid w:val="377D432C"/>
    <w:rsid w:val="37AB2E10"/>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38960BA"/>
    <w:rsid w:val="44232BAA"/>
    <w:rsid w:val="44427364"/>
    <w:rsid w:val="44873A6C"/>
    <w:rsid w:val="44DF681D"/>
    <w:rsid w:val="45FCD7E6"/>
    <w:rsid w:val="46D71931"/>
    <w:rsid w:val="4723522B"/>
    <w:rsid w:val="47291D58"/>
    <w:rsid w:val="47DB580F"/>
    <w:rsid w:val="47EFB654"/>
    <w:rsid w:val="47F760E8"/>
    <w:rsid w:val="48891131"/>
    <w:rsid w:val="49FEF80C"/>
    <w:rsid w:val="49FF8F59"/>
    <w:rsid w:val="4AB05D85"/>
    <w:rsid w:val="4B4F9DAB"/>
    <w:rsid w:val="4B659265"/>
    <w:rsid w:val="4BEFA816"/>
    <w:rsid w:val="4CF2A4B4"/>
    <w:rsid w:val="4D7DB703"/>
    <w:rsid w:val="4DF3B862"/>
    <w:rsid w:val="4E17779E"/>
    <w:rsid w:val="4E5E62AD"/>
    <w:rsid w:val="4E6B18BD"/>
    <w:rsid w:val="4EA01857"/>
    <w:rsid w:val="4EF431F4"/>
    <w:rsid w:val="4F6FE9FE"/>
    <w:rsid w:val="4F7E33A1"/>
    <w:rsid w:val="4F7F4BA5"/>
    <w:rsid w:val="4FBF562A"/>
    <w:rsid w:val="4FDA4528"/>
    <w:rsid w:val="4FEDBD36"/>
    <w:rsid w:val="4FFED8BC"/>
    <w:rsid w:val="4FFF6EA2"/>
    <w:rsid w:val="4FFF822F"/>
    <w:rsid w:val="4FFFE988"/>
    <w:rsid w:val="4FFFF704"/>
    <w:rsid w:val="50885E17"/>
    <w:rsid w:val="50FF4022"/>
    <w:rsid w:val="51670BFE"/>
    <w:rsid w:val="51744453"/>
    <w:rsid w:val="51FA1CCE"/>
    <w:rsid w:val="525200CA"/>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D94AD"/>
    <w:rsid w:val="57BDD857"/>
    <w:rsid w:val="57D9612B"/>
    <w:rsid w:val="57DF1E22"/>
    <w:rsid w:val="57EF1799"/>
    <w:rsid w:val="581736A2"/>
    <w:rsid w:val="5829270F"/>
    <w:rsid w:val="586B4837"/>
    <w:rsid w:val="58DF8E6B"/>
    <w:rsid w:val="58F22CAF"/>
    <w:rsid w:val="595952D9"/>
    <w:rsid w:val="59A114A8"/>
    <w:rsid w:val="59B88A99"/>
    <w:rsid w:val="59EF71EF"/>
    <w:rsid w:val="59FFDBC0"/>
    <w:rsid w:val="5A86211B"/>
    <w:rsid w:val="5AEF1B39"/>
    <w:rsid w:val="5B45263B"/>
    <w:rsid w:val="5B4D3980"/>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377E0E"/>
    <w:rsid w:val="61A33E0C"/>
    <w:rsid w:val="622374C1"/>
    <w:rsid w:val="63B06626"/>
    <w:rsid w:val="63F6A059"/>
    <w:rsid w:val="63FA17DF"/>
    <w:rsid w:val="645F13ED"/>
    <w:rsid w:val="656126EE"/>
    <w:rsid w:val="65E5F257"/>
    <w:rsid w:val="666F5E1C"/>
    <w:rsid w:val="66B3142B"/>
    <w:rsid w:val="673B1B0E"/>
    <w:rsid w:val="674F64E8"/>
    <w:rsid w:val="677E174E"/>
    <w:rsid w:val="67B04461"/>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6B9441"/>
    <w:rsid w:val="767A6FDE"/>
    <w:rsid w:val="767B60E7"/>
    <w:rsid w:val="76A06CD5"/>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0D15B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qFormat/>
    <w:uiPriority w:val="0"/>
    <w:pPr>
      <w:spacing w:beforeAutospacing="1" w:afterAutospacing="1"/>
      <w:jc w:val="left"/>
    </w:pPr>
    <w:rPr>
      <w:kern w:val="0"/>
      <w:sz w:val="24"/>
    </w:rPr>
  </w:style>
  <w:style w:type="paragraph" w:styleId="17">
    <w:name w:val="annotation subject"/>
    <w:basedOn w:val="7"/>
    <w:next w:val="7"/>
    <w:semiHidden/>
    <w:qFormat/>
    <w:uiPriority w:val="0"/>
    <w:rPr>
      <w:b/>
      <w:bCs/>
    </w:rPr>
  </w:style>
  <w:style w:type="character" w:styleId="20">
    <w:name w:val="FollowedHyperlink"/>
    <w:qFormat/>
    <w:uiPriority w:val="0"/>
    <w:rPr>
      <w:color w:val="800080"/>
      <w:u w:val="single"/>
    </w:rPr>
  </w:style>
  <w:style w:type="character" w:styleId="21">
    <w:name w:val="Hyperlink"/>
    <w:unhideWhenUsed/>
    <w:qFormat/>
    <w:uiPriority w:val="99"/>
    <w:rPr>
      <w:color w:val="0000FF"/>
      <w:u w:val="single"/>
    </w:rPr>
  </w:style>
  <w:style w:type="character" w:styleId="22">
    <w:name w:val="annotation reference"/>
    <w:semiHidden/>
    <w:qFormat/>
    <w:uiPriority w:val="0"/>
    <w:rPr>
      <w:sz w:val="21"/>
      <w:szCs w:val="21"/>
    </w:rPr>
  </w:style>
  <w:style w:type="character" w:customStyle="1" w:styleId="23">
    <w:name w:val="标题 3 字符"/>
    <w:link w:val="4"/>
    <w:qFormat/>
    <w:uiPriority w:val="9"/>
    <w:rPr>
      <w:rFonts w:ascii="Calibri" w:hAnsi="Calibri" w:eastAsia="微软雅黑"/>
      <w:b/>
      <w:bCs/>
      <w:kern w:val="2"/>
      <w:sz w:val="32"/>
      <w:szCs w:val="32"/>
    </w:rPr>
  </w:style>
  <w:style w:type="character" w:customStyle="1" w:styleId="24">
    <w:name w:val="页脚 字符"/>
    <w:link w:val="10"/>
    <w:qFormat/>
    <w:uiPriority w:val="0"/>
    <w:rPr>
      <w:rFonts w:ascii="Calibri" w:hAnsi="Calibri"/>
      <w:kern w:val="2"/>
      <w:sz w:val="18"/>
      <w:szCs w:val="18"/>
    </w:rPr>
  </w:style>
  <w:style w:type="character" w:customStyle="1" w:styleId="25">
    <w:name w:val="页眉 字符"/>
    <w:link w:val="11"/>
    <w:qFormat/>
    <w:uiPriority w:val="0"/>
    <w:rPr>
      <w:rFonts w:ascii="Calibri" w:hAnsi="Calibri"/>
      <w:kern w:val="2"/>
      <w:sz w:val="18"/>
      <w:szCs w:val="18"/>
    </w:rPr>
  </w:style>
  <w:style w:type="paragraph" w:customStyle="1" w:styleId="2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7">
    <w:name w:val="列出段落1"/>
    <w:basedOn w:val="1"/>
    <w:qFormat/>
    <w:uiPriority w:val="34"/>
    <w:pPr>
      <w:ind w:firstLine="420" w:firstLineChars="200"/>
    </w:pPr>
  </w:style>
  <w:style w:type="paragraph" w:customStyle="1" w:styleId="2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9">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DoubleOX</Company>
  <Pages>20</Pages>
  <Words>2599</Words>
  <Characters>2774</Characters>
  <Lines>26</Lines>
  <Paragraphs>7</Paragraphs>
  <TotalTime>227</TotalTime>
  <ScaleCrop>false</ScaleCrop>
  <LinksUpToDate>false</LinksUpToDate>
  <CharactersWithSpaces>2883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佳小佳佳 ！</cp:lastModifiedBy>
  <dcterms:modified xsi:type="dcterms:W3CDTF">2023-12-29T02:35:07Z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886977E2EDB54E8FA3B4635436A21D90_13</vt:lpwstr>
  </property>
</Properties>
</file>