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4"/>
        <w:spacing w:before="9"/>
        <w:rPr>
          <w:sz w:val="32"/>
        </w:rPr>
      </w:pPr>
    </w:p>
    <w:p>
      <w:pPr>
        <w:pStyle w:val="2"/>
        <w:jc w:val="center"/>
      </w:pPr>
      <w:r>
        <w:rPr>
          <w:rFonts w:hint="eastAsia"/>
          <w:lang w:val="en-US" w:eastAsia="zh-CN"/>
        </w:rPr>
        <w:t>耗材基础库</w:t>
      </w:r>
    </w:p>
    <w:p>
      <w:pPr>
        <w:pStyle w:val="2"/>
        <w:jc w:val="center"/>
      </w:pPr>
      <w:r>
        <w:rPr>
          <w:rFonts w:hint="eastAsia"/>
          <w:lang w:val="en-US" w:eastAsia="zh-CN"/>
        </w:rPr>
        <w:t>医保编码</w:t>
      </w:r>
      <w:r>
        <w:rPr>
          <w:rFonts w:hint="eastAsia"/>
        </w:rPr>
        <w:t>维护操作手册</w:t>
      </w:r>
    </w:p>
    <w:p>
      <w:pPr>
        <w:tabs>
          <w:tab w:val="left" w:pos="930"/>
        </w:tabs>
        <w:rPr>
          <w:b/>
          <w:bCs/>
          <w:sz w:val="44"/>
          <w:szCs w:val="4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tabs>
          <w:tab w:val="left" w:pos="1500"/>
        </w:tabs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  <w:sectPr>
          <w:headerReference r:id="rId3" w:type="default"/>
          <w:footerReference r:id="rId4" w:type="default"/>
          <w:pgSz w:w="11910" w:h="16840"/>
          <w:pgMar w:top="1420" w:right="1560" w:bottom="1380" w:left="1680" w:header="852" w:footer="1196" w:gutter="0"/>
          <w:pgNumType w:start="1"/>
          <w:cols w:space="720" w:num="1"/>
        </w:sectPr>
      </w:pPr>
    </w:p>
    <w:p>
      <w:pPr>
        <w:pStyle w:val="2"/>
        <w:numPr>
          <w:ilvl w:val="0"/>
          <w:numId w:val="1"/>
        </w:numPr>
        <w:tabs>
          <w:tab w:val="left" w:pos="545"/>
        </w:tabs>
      </w:pPr>
      <w:r>
        <w:rPr>
          <w:rFonts w:hint="eastAsia"/>
        </w:rPr>
        <w:t>操作流程</w:t>
      </w:r>
    </w:p>
    <w:p>
      <w:pPr>
        <w:pStyle w:val="3"/>
        <w:numPr>
          <w:ilvl w:val="1"/>
          <w:numId w:val="1"/>
        </w:numPr>
        <w:tabs>
          <w:tab w:val="left" w:pos="687"/>
        </w:tabs>
      </w:pPr>
      <w:bookmarkStart w:id="0" w:name="_Toc77933416"/>
      <w:r>
        <w:rPr>
          <w:rFonts w:hint="eastAsia"/>
        </w:rPr>
        <w:t>登录</w:t>
      </w:r>
      <w:bookmarkEnd w:id="0"/>
    </w:p>
    <w:p>
      <w:pPr>
        <w:ind w:left="686"/>
      </w:pPr>
    </w:p>
    <w:p>
      <w:pPr>
        <w:ind w:firstLine="540"/>
        <w:rPr>
          <w:sz w:val="24"/>
          <w:szCs w:val="24"/>
        </w:rPr>
      </w:pPr>
      <w:r>
        <w:rPr>
          <w:rFonts w:hint="eastAsia"/>
          <w:sz w:val="24"/>
          <w:szCs w:val="24"/>
        </w:rPr>
        <w:t>登录页面：</w:t>
      </w:r>
    </w:p>
    <w:p>
      <w:pPr>
        <w:rPr>
          <w:sz w:val="24"/>
          <w:szCs w:val="24"/>
        </w:rPr>
      </w:pPr>
      <w:r>
        <w:drawing>
          <wp:inline distT="0" distB="0" distL="114300" distR="114300">
            <wp:extent cx="5407660" cy="27362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120" w:firstLine="480"/>
        <w:rPr>
          <w:spacing w:val="-4"/>
          <w:sz w:val="24"/>
        </w:rPr>
      </w:pPr>
    </w:p>
    <w:p>
      <w:pPr>
        <w:pStyle w:val="13"/>
        <w:numPr>
          <w:ilvl w:val="2"/>
          <w:numId w:val="2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hAnsi="Wingdings" w:eastAsia="Wingdings"/>
          <w:sz w:val="24"/>
          <w:szCs w:val="24"/>
        </w:rPr>
      </w:pPr>
      <w:r>
        <w:rPr>
          <w:rFonts w:hint="eastAsia"/>
          <w:spacing w:val="-15"/>
          <w:sz w:val="24"/>
        </w:rPr>
        <w:t>生产企业</w:t>
      </w:r>
      <w:r>
        <w:rPr>
          <w:spacing w:val="-4"/>
          <w:sz w:val="24"/>
          <w:szCs w:val="24"/>
        </w:rPr>
        <w:t>用户可在浏览器地址栏输</w:t>
      </w:r>
      <w:r>
        <w:rPr>
          <w:rFonts w:hint="eastAsia"/>
          <w:spacing w:val="-4"/>
          <w:sz w:val="24"/>
          <w:szCs w:val="24"/>
        </w:rPr>
        <w:t>入</w:t>
      </w:r>
      <w:r>
        <w:rPr>
          <w:rFonts w:hint="eastAsia"/>
        </w:rPr>
        <w:t>http://hc.ynyyzb.com.cn:8001/com.hsnn.sso/login.html</w:t>
      </w:r>
      <w:r>
        <w:rPr>
          <w:spacing w:val="-20"/>
          <w:sz w:val="24"/>
          <w:szCs w:val="24"/>
        </w:rPr>
        <w:t>，</w:t>
      </w:r>
      <w:r>
        <w:rPr>
          <w:spacing w:val="-11"/>
          <w:sz w:val="24"/>
          <w:szCs w:val="24"/>
        </w:rPr>
        <w:t>输入用户名及密码，点</w:t>
      </w:r>
      <w:r>
        <w:rPr>
          <w:sz w:val="24"/>
          <w:szCs w:val="24"/>
        </w:rPr>
        <w:t>击【</w:t>
      </w:r>
      <w:r>
        <w:rPr>
          <w:rFonts w:hint="eastAsia"/>
          <w:sz w:val="24"/>
          <w:szCs w:val="24"/>
        </w:rPr>
        <w:t>登录</w:t>
      </w:r>
      <w:r>
        <w:rPr>
          <w:sz w:val="24"/>
          <w:szCs w:val="24"/>
        </w:rPr>
        <w:t>】按钮登录。</w:t>
      </w:r>
    </w:p>
    <w:p>
      <w:pPr>
        <w:pStyle w:val="13"/>
        <w:numPr>
          <w:ilvl w:val="2"/>
          <w:numId w:val="2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hAnsi="Wingdings" w:eastAsia="Wingdings"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登录成功，进入系统主页面，如下图：</w:t>
      </w:r>
    </w:p>
    <w:p>
      <w:pPr>
        <w:pStyle w:val="13"/>
        <w:tabs>
          <w:tab w:val="left" w:pos="959"/>
          <w:tab w:val="left" w:pos="960"/>
        </w:tabs>
        <w:spacing w:before="1" w:line="360" w:lineRule="auto"/>
        <w:ind w:left="959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系统主页面：</w:t>
      </w:r>
    </w:p>
    <w:p>
      <w:pPr>
        <w:pStyle w:val="13"/>
        <w:numPr>
          <w:ilvl w:val="2"/>
          <w:numId w:val="2"/>
        </w:numPr>
        <w:tabs>
          <w:tab w:val="left" w:pos="959"/>
          <w:tab w:val="left" w:pos="960"/>
        </w:tabs>
        <w:spacing w:before="1" w:line="360" w:lineRule="auto"/>
        <w:ind w:left="959"/>
        <w:rPr>
          <w:rFonts w:ascii="Wingdings" w:hAnsi="Wingdings" w:eastAsia="Wingdings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点击【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耗材基础库</w:t>
      </w:r>
      <w:r>
        <w:rPr>
          <w:rFonts w:hint="eastAsia" w:asciiTheme="minorEastAsia" w:hAnsiTheme="minorEastAsia" w:eastAsiaTheme="minorEastAsia"/>
          <w:sz w:val="24"/>
          <w:szCs w:val="24"/>
        </w:rPr>
        <w:t>】进入</w:t>
      </w:r>
      <w:bookmarkStart w:id="1" w:name="_GoBack"/>
      <w:bookmarkEnd w:id="1"/>
      <w:r>
        <w:rPr>
          <w:rFonts w:hint="eastAsia" w:asciiTheme="minorEastAsia" w:hAnsiTheme="minorEastAsia" w:eastAsiaTheme="minorEastAsia"/>
          <w:sz w:val="24"/>
          <w:szCs w:val="24"/>
        </w:rPr>
        <w:t>系统，如下图：</w:t>
      </w:r>
    </w:p>
    <w:p>
      <w:pPr>
        <w:pStyle w:val="13"/>
        <w:numPr>
          <w:ilvl w:val="0"/>
          <w:numId w:val="0"/>
        </w:numPr>
        <w:tabs>
          <w:tab w:val="left" w:pos="959"/>
          <w:tab w:val="left" w:pos="960"/>
        </w:tabs>
        <w:spacing w:before="1" w:line="360" w:lineRule="auto"/>
        <w:rPr>
          <w:rFonts w:ascii="Wingdings" w:hAnsi="Wingdings" w:eastAsia="Wingdings"/>
          <w:sz w:val="24"/>
          <w:szCs w:val="24"/>
        </w:rPr>
      </w:pPr>
      <w:r>
        <w:drawing>
          <wp:inline distT="0" distB="0" distL="114300" distR="114300">
            <wp:extent cx="5396865" cy="2295525"/>
            <wp:effectExtent l="0" t="0" r="13335" b="952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9686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1" w:line="360" w:lineRule="auto"/>
        <w:rPr>
          <w:sz w:val="24"/>
          <w:szCs w:val="24"/>
        </w:rPr>
      </w:pPr>
      <w:r>
        <w:drawing>
          <wp:inline distT="0" distB="0" distL="114300" distR="114300">
            <wp:extent cx="5435600" cy="2482850"/>
            <wp:effectExtent l="0" t="0" r="12700" b="1270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3"/>
        <w:tabs>
          <w:tab w:val="left" w:pos="959"/>
          <w:tab w:val="left" w:pos="960"/>
        </w:tabs>
        <w:spacing w:before="1" w:line="360" w:lineRule="auto"/>
        <w:ind w:left="686" w:firstLine="0"/>
        <w:rPr>
          <w:rFonts w:ascii="Wingdings" w:hAnsi="Wingdings" w:eastAsia="Wingdings"/>
          <w:sz w:val="24"/>
          <w:szCs w:val="24"/>
        </w:rPr>
      </w:pPr>
    </w:p>
    <w:p>
      <w:pPr>
        <w:pStyle w:val="2"/>
        <w:numPr>
          <w:ilvl w:val="0"/>
          <w:numId w:val="1"/>
        </w:numPr>
        <w:tabs>
          <w:tab w:val="left" w:pos="545"/>
        </w:tabs>
      </w:pPr>
      <w:r>
        <w:rPr>
          <w:rFonts w:hint="eastAsia"/>
          <w:lang w:val="en-US" w:eastAsia="zh-CN"/>
        </w:rPr>
        <w:t>产品管理</w:t>
      </w:r>
    </w:p>
    <w:p>
      <w:pPr>
        <w:pStyle w:val="2"/>
        <w:tabs>
          <w:tab w:val="left" w:pos="545"/>
        </w:tabs>
        <w:ind w:firstLine="0"/>
        <w:rPr>
          <w:sz w:val="21"/>
          <w:szCs w:val="21"/>
        </w:rPr>
      </w:pPr>
    </w:p>
    <w:p>
      <w:pPr>
        <w:pStyle w:val="2"/>
        <w:tabs>
          <w:tab w:val="left" w:pos="545"/>
        </w:tabs>
        <w:ind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点击左侧菜单栏【</w:t>
      </w:r>
      <w:r>
        <w:rPr>
          <w:rFonts w:hint="eastAsia"/>
          <w:sz w:val="28"/>
          <w:szCs w:val="28"/>
          <w:lang w:val="en-US" w:eastAsia="zh-CN"/>
        </w:rPr>
        <w:t>产品</w:t>
      </w:r>
      <w:r>
        <w:rPr>
          <w:rFonts w:hint="eastAsia"/>
          <w:sz w:val="28"/>
          <w:szCs w:val="28"/>
        </w:rPr>
        <w:t>管理】菜单，点击【</w:t>
      </w:r>
      <w:r>
        <w:rPr>
          <w:rFonts w:hint="eastAsia"/>
          <w:sz w:val="28"/>
          <w:szCs w:val="28"/>
          <w:lang w:val="en-US" w:eastAsia="zh-CN"/>
        </w:rPr>
        <w:t>维护医保编码</w:t>
      </w:r>
      <w:r>
        <w:rPr>
          <w:rFonts w:hint="eastAsia"/>
          <w:sz w:val="28"/>
          <w:szCs w:val="28"/>
        </w:rPr>
        <w:t>】如下图：</w:t>
      </w:r>
    </w:p>
    <w:p>
      <w:pPr>
        <w:pStyle w:val="2"/>
        <w:tabs>
          <w:tab w:val="left" w:pos="545"/>
        </w:tabs>
        <w:ind w:left="0" w:firstLine="0"/>
      </w:pPr>
      <w:r>
        <w:drawing>
          <wp:inline distT="0" distB="0" distL="114300" distR="114300">
            <wp:extent cx="5425440" cy="2587625"/>
            <wp:effectExtent l="0" t="0" r="3810" b="317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b/>
          <w:bCs/>
          <w:color w:val="FF0000"/>
          <w:sz w:val="28"/>
          <w:szCs w:val="28"/>
        </w:rPr>
      </w:pPr>
      <w:r>
        <w:rPr>
          <w:rFonts w:hint="eastAsia"/>
          <w:b/>
          <w:bCs/>
          <w:color w:val="FF0000"/>
          <w:sz w:val="28"/>
          <w:szCs w:val="28"/>
        </w:rPr>
        <w:t>注意事项说明：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1、产品状态暂时为停用，待执行日开始启用。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2、规格、型号、国家医保编码请认真填写，注意规格型号对应关系，如果不正确填写，会影响后期采购。</w:t>
      </w:r>
    </w:p>
    <w:p>
      <w:pPr>
        <w:ind w:firstLine="420"/>
        <w:rPr>
          <w:rFonts w:hint="default" w:eastAsia="宋体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</w:rPr>
        <w:t>3、“国家医保编码”必须为27位，</w:t>
      </w:r>
      <w:r>
        <w:rPr>
          <w:rFonts w:hint="eastAsia"/>
          <w:color w:val="FF0000"/>
          <w:sz w:val="24"/>
          <w:szCs w:val="24"/>
          <w:lang w:val="en-US" w:eastAsia="zh-CN"/>
        </w:rPr>
        <w:t>具有唯一性。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4、本次维护国家医保编码功能，系统提供两种操作方式，第一种为直接导入方式，用户根据“目录导入模板”，做好自家产品对应关系，上传即可；第二种为逐条添加模式，用户可逐条填写规格型号医保编码提交。对于单条产品规格型号数量多的用户可采用第一种方式；单条产品规格型号数量少的用户可采用第二种方式。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第一种方式：导入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点击【导入规格型号】按钮，如图：</w:t>
      </w:r>
    </w:p>
    <w:p>
      <w:r>
        <w:drawing>
          <wp:inline distT="0" distB="0" distL="114300" distR="114300">
            <wp:extent cx="5402580" cy="2065020"/>
            <wp:effectExtent l="0" t="0" r="7620" b="1143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25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按照操作说明，点击蓝色字体：下载目录导入模板。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根据模板制作所需导入的excel，格式为流水号，规格，型号，国家医保编码必填，备注可填可不填。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注意：1、上传的文件必须严格按照【导入模板】制作，否则导入不成功！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2、国家医保编码必须为27为且具有唯一性，规格型号不能重复。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3、单个excel文件请控制在5</w:t>
      </w:r>
      <w:r>
        <w:rPr>
          <w:color w:val="FF0000"/>
          <w:sz w:val="24"/>
          <w:szCs w:val="24"/>
        </w:rPr>
        <w:t>00</w:t>
      </w:r>
      <w:r>
        <w:rPr>
          <w:rFonts w:hint="eastAsia"/>
          <w:color w:val="FF0000"/>
          <w:sz w:val="24"/>
          <w:szCs w:val="24"/>
        </w:rPr>
        <w:t>条以内，导入数据过大时过程比较缓慢请耐心等待。</w:t>
      </w:r>
    </w:p>
    <w:p>
      <w:pPr>
        <w:rPr>
          <w:sz w:val="24"/>
          <w:szCs w:val="24"/>
        </w:rPr>
      </w:pP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第二种方式：逐条添加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1：点击拆分规格型号 如下：</w:t>
      </w:r>
    </w:p>
    <w:p>
      <w:r>
        <w:drawing>
          <wp:inline distT="0" distB="0" distL="114300" distR="114300">
            <wp:extent cx="5434965" cy="2260600"/>
            <wp:effectExtent l="0" t="0" r="13335" b="635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点击如图所示的+号字样即可添加条数，相反</w:t>
      </w:r>
      <w:r>
        <w:rPr>
          <w:sz w:val="24"/>
          <w:szCs w:val="24"/>
        </w:rPr>
        <w:t>-</w:t>
      </w:r>
      <w:r>
        <w:rPr>
          <w:rFonts w:hint="eastAsia"/>
          <w:sz w:val="24"/>
          <w:szCs w:val="24"/>
        </w:rPr>
        <w:t>号则减少行数。填写规格，型号，国家医保编码后点击提交即可。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注：国家医保编码唯一，且只能填写2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位。同规格型号唯一，即一个产品只能拥有一种规格型号，不能重复。</w:t>
      </w:r>
    </w:p>
    <w:p>
      <w:pPr>
        <w:ind w:firstLine="420"/>
        <w:rPr>
          <w:sz w:val="24"/>
          <w:szCs w:val="24"/>
        </w:rPr>
      </w:pPr>
    </w:p>
    <w:p>
      <w:pPr>
        <w:ind w:firstLine="420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：点击维护规格型号 如图：</w:t>
      </w:r>
    </w:p>
    <w:p>
      <w:r>
        <w:drawing>
          <wp:inline distT="0" distB="0" distL="114300" distR="114300">
            <wp:extent cx="5450840" cy="2345690"/>
            <wp:effectExtent l="0" t="0" r="16510" b="1651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5084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.1</w:t>
      </w:r>
      <w:r>
        <w:rPr>
          <w:rFonts w:hint="eastAsia"/>
          <w:sz w:val="24"/>
          <w:szCs w:val="24"/>
        </w:rPr>
        <w:t>更新：填入需更改的值，点击更新则修改</w:t>
      </w:r>
    </w:p>
    <w:p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.2</w:t>
      </w:r>
      <w:r>
        <w:rPr>
          <w:rFonts w:hint="eastAsia"/>
          <w:sz w:val="24"/>
          <w:szCs w:val="24"/>
        </w:rPr>
        <w:t>删除：如该规格型号填错等原因需删除点击即可</w:t>
      </w:r>
    </w:p>
    <w:p>
      <w:pPr>
        <w:ind w:firstLine="42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注：国家医保编码唯一，且只能填写2</w:t>
      </w:r>
      <w:r>
        <w:rPr>
          <w:color w:val="FF0000"/>
          <w:sz w:val="24"/>
          <w:szCs w:val="24"/>
        </w:rPr>
        <w:t>7</w:t>
      </w:r>
      <w:r>
        <w:rPr>
          <w:rFonts w:hint="eastAsia"/>
          <w:color w:val="FF0000"/>
          <w:sz w:val="24"/>
          <w:szCs w:val="24"/>
        </w:rPr>
        <w:t>位。同规格型号唯一，即一个产品只能拥有一种规格型号，不能重复。</w:t>
      </w:r>
    </w:p>
    <w:p>
      <w:pPr>
        <w:ind w:firstLine="4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.3</w:t>
      </w:r>
      <w:r>
        <w:rPr>
          <w:rFonts w:hint="eastAsia"/>
          <w:sz w:val="24"/>
          <w:szCs w:val="24"/>
        </w:rPr>
        <w:t>导出：如需统计该产品所有的规格性格可点击导出按钮，导出数据量过大时可能会比较慢，请耐心等待。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3683635</wp:posOffset>
              </wp:positionH>
              <wp:positionV relativeFrom="page">
                <wp:posOffset>9792970</wp:posOffset>
              </wp:positionV>
              <wp:extent cx="192405" cy="139700"/>
              <wp:effectExtent l="0" t="0" r="0" b="0"/>
              <wp:wrapNone/>
              <wp:docPr id="38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90.05pt;margin-top:771.1pt;height:11pt;width:15.15pt;mso-position-horizontal-relative:page;mso-position-vertical-relative:page;z-index:-251657216;mso-width-relative:page;mso-height-relative:page;" filled="f" stroked="f" coordsize="21600,21600" o:gfxdata="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7A++aNoAAAANAQAADwAAAAAAAAABACAAAAAiAAAAZHJzL2Rvd25y&#10;ZXYueG1sUEsBAhQAFAAAAAgAh07iQEZnSEb8AQAABAQAAA4AAAAAAAAAAQAgAAAAKQEAAGRycy9l&#10;Mm9Eb2MueG1sUEsFBgAAAAAGAAYAWQEAAJc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8C7B20"/>
    <w:multiLevelType w:val="multilevel"/>
    <w:tmpl w:val="4F8C7B20"/>
    <w:lvl w:ilvl="0" w:tentative="0">
      <w:start w:val="1"/>
      <w:numFmt w:val="decimal"/>
      <w:lvlText w:val="%1."/>
      <w:lvlJc w:val="left"/>
      <w:pPr>
        <w:ind w:left="544" w:hanging="425"/>
      </w:pPr>
      <w:rPr>
        <w:rFonts w:hint="default" w:ascii="Calibri" w:hAnsi="Calibri" w:eastAsia="Calibri" w:cs="Calibri"/>
        <w:b/>
        <w:bCs/>
        <w:w w:val="99"/>
        <w:sz w:val="44"/>
        <w:szCs w:val="44"/>
        <w:lang w:val="zh-CN" w:eastAsia="zh-CN" w:bidi="zh-CN"/>
      </w:rPr>
    </w:lvl>
    <w:lvl w:ilvl="1" w:tentative="0">
      <w:start w:val="1"/>
      <w:numFmt w:val="decimal"/>
      <w:lvlText w:val="%1.%2."/>
      <w:lvlJc w:val="left"/>
      <w:pPr>
        <w:ind w:left="686" w:hanging="567"/>
      </w:pPr>
      <w:rPr>
        <w:rFonts w:hint="default" w:ascii="Cambria" w:hAnsi="Cambria" w:eastAsia="Cambria" w:cs="Cambria"/>
        <w:b/>
        <w:bCs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"/>
      <w:lvlJc w:val="left"/>
      <w:pPr>
        <w:ind w:left="960" w:hanging="420"/>
      </w:pPr>
      <w:rPr>
        <w:rFonts w:hint="default"/>
        <w:w w:val="100"/>
        <w:lang w:val="zh-CN" w:eastAsia="zh-CN" w:bidi="zh-CN"/>
      </w:rPr>
    </w:lvl>
    <w:lvl w:ilvl="3" w:tentative="0">
      <w:start w:val="0"/>
      <w:numFmt w:val="bullet"/>
      <w:lvlText w:val=""/>
      <w:lvlJc w:val="left"/>
      <w:pPr>
        <w:ind w:left="1380" w:hanging="420"/>
      </w:pPr>
      <w:rPr>
        <w:rFonts w:hint="default" w:ascii="Wingdings" w:hAnsi="Wingdings" w:eastAsia="Wingdings" w:cs="Wingdings"/>
        <w:w w:val="100"/>
        <w:sz w:val="24"/>
        <w:szCs w:val="24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420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502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543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584" w:hanging="420"/>
      </w:pPr>
      <w:rPr>
        <w:rFonts w:hint="default"/>
        <w:lang w:val="zh-CN" w:eastAsia="zh-CN" w:bidi="zh-CN"/>
      </w:rPr>
    </w:lvl>
  </w:abstractNum>
  <w:abstractNum w:abstractNumId="1">
    <w:nsid w:val="699F44C9"/>
    <w:multiLevelType w:val="multilevel"/>
    <w:tmpl w:val="699F44C9"/>
    <w:lvl w:ilvl="0" w:tentative="0">
      <w:start w:val="1"/>
      <w:numFmt w:val="decimal"/>
      <w:lvlText w:val="%1."/>
      <w:lvlJc w:val="left"/>
      <w:pPr>
        <w:ind w:left="544" w:hanging="425"/>
      </w:pPr>
      <w:rPr>
        <w:rFonts w:hint="default" w:ascii="Calibri" w:hAnsi="Calibri" w:eastAsia="Calibri" w:cs="Calibri"/>
        <w:b/>
        <w:bCs/>
        <w:w w:val="99"/>
        <w:sz w:val="44"/>
        <w:szCs w:val="44"/>
        <w:lang w:val="zh-CN" w:eastAsia="zh-CN" w:bidi="zh-CN"/>
      </w:rPr>
    </w:lvl>
    <w:lvl w:ilvl="1" w:tentative="0">
      <w:start w:val="1"/>
      <w:numFmt w:val="decimal"/>
      <w:lvlText w:val="%1.%2."/>
      <w:lvlJc w:val="left"/>
      <w:pPr>
        <w:ind w:left="686" w:hanging="567"/>
      </w:pPr>
      <w:rPr>
        <w:rFonts w:hint="default" w:ascii="Cambria" w:hAnsi="Cambria" w:eastAsia="Cambria" w:cs="Cambria"/>
        <w:b/>
        <w:bCs/>
        <w:w w:val="99"/>
        <w:sz w:val="32"/>
        <w:szCs w:val="32"/>
        <w:lang w:val="zh-CN" w:eastAsia="zh-CN" w:bidi="zh-CN"/>
      </w:rPr>
    </w:lvl>
    <w:lvl w:ilvl="2" w:tentative="0">
      <w:start w:val="0"/>
      <w:numFmt w:val="bullet"/>
      <w:lvlText w:val=""/>
      <w:lvlJc w:val="left"/>
      <w:pPr>
        <w:ind w:left="960" w:hanging="420"/>
      </w:pPr>
      <w:rPr>
        <w:rFonts w:hint="default"/>
        <w:w w:val="100"/>
        <w:lang w:val="zh-CN" w:eastAsia="zh-CN" w:bidi="zh-CN"/>
      </w:rPr>
    </w:lvl>
    <w:lvl w:ilvl="3" w:tentative="0">
      <w:start w:val="0"/>
      <w:numFmt w:val="bullet"/>
      <w:lvlText w:val=""/>
      <w:lvlJc w:val="left"/>
      <w:pPr>
        <w:ind w:left="1380" w:hanging="420"/>
      </w:pPr>
      <w:rPr>
        <w:rFonts w:hint="default" w:ascii="Wingdings" w:hAnsi="Wingdings" w:eastAsia="Wingdings" w:cs="Wingdings"/>
        <w:w w:val="100"/>
        <w:sz w:val="24"/>
        <w:szCs w:val="24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420" w:hanging="42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3461" w:hanging="42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4502" w:hanging="42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543" w:hanging="42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584" w:hanging="420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93"/>
    <w:rsid w:val="0002737E"/>
    <w:rsid w:val="000A0F70"/>
    <w:rsid w:val="000B7D55"/>
    <w:rsid w:val="001026CD"/>
    <w:rsid w:val="003959C7"/>
    <w:rsid w:val="003F03FE"/>
    <w:rsid w:val="00440D81"/>
    <w:rsid w:val="006E5C31"/>
    <w:rsid w:val="00716D3A"/>
    <w:rsid w:val="00765193"/>
    <w:rsid w:val="00923A09"/>
    <w:rsid w:val="00966B81"/>
    <w:rsid w:val="009F71F0"/>
    <w:rsid w:val="00AD0033"/>
    <w:rsid w:val="00C73EAA"/>
    <w:rsid w:val="00E448E6"/>
    <w:rsid w:val="00EC75B2"/>
    <w:rsid w:val="00FD6DC6"/>
    <w:rsid w:val="0E435D87"/>
    <w:rsid w:val="476E0CCB"/>
    <w:rsid w:val="51CA26A8"/>
    <w:rsid w:val="63B219DE"/>
    <w:rsid w:val="718525E5"/>
    <w:rsid w:val="74FF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link w:val="11"/>
    <w:qFormat/>
    <w:uiPriority w:val="9"/>
    <w:pPr>
      <w:spacing w:before="1"/>
      <w:ind w:left="544" w:hanging="425"/>
      <w:outlineLvl w:val="0"/>
    </w:pPr>
    <w:rPr>
      <w:b/>
      <w:bCs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2"/>
    <w:qFormat/>
    <w:uiPriority w:val="1"/>
    <w:rPr>
      <w:sz w:val="24"/>
      <w:szCs w:val="24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iPriority w:val="39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标题 1 字符"/>
    <w:basedOn w:val="9"/>
    <w:link w:val="2"/>
    <w:uiPriority w:val="9"/>
    <w:rPr>
      <w:rFonts w:ascii="宋体" w:hAnsi="宋体" w:eastAsia="宋体" w:cs="宋体"/>
      <w:b/>
      <w:bCs/>
      <w:kern w:val="0"/>
      <w:sz w:val="44"/>
      <w:szCs w:val="44"/>
      <w:lang w:val="zh-CN" w:bidi="zh-CN"/>
    </w:rPr>
  </w:style>
  <w:style w:type="character" w:customStyle="1" w:styleId="12">
    <w:name w:val="正文文本 字符"/>
    <w:basedOn w:val="9"/>
    <w:link w:val="4"/>
    <w:qFormat/>
    <w:uiPriority w:val="1"/>
    <w:rPr>
      <w:rFonts w:ascii="宋体" w:hAnsi="宋体" w:eastAsia="宋体" w:cs="宋体"/>
      <w:kern w:val="0"/>
      <w:sz w:val="24"/>
      <w:szCs w:val="24"/>
      <w:lang w:val="zh-CN" w:bidi="zh-CN"/>
    </w:rPr>
  </w:style>
  <w:style w:type="paragraph" w:styleId="13">
    <w:name w:val="List Paragraph"/>
    <w:basedOn w:val="1"/>
    <w:qFormat/>
    <w:uiPriority w:val="1"/>
    <w:pPr>
      <w:ind w:left="960" w:hanging="420"/>
    </w:pPr>
  </w:style>
  <w:style w:type="character" w:customStyle="1" w:styleId="14">
    <w:name w:val="标题 2 字符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0"/>
      <w:sz w:val="32"/>
      <w:szCs w:val="32"/>
      <w:lang w:val="zh-CN" w:bidi="zh-CN"/>
    </w:rPr>
  </w:style>
  <w:style w:type="character" w:customStyle="1" w:styleId="15">
    <w:name w:val="页眉 字符"/>
    <w:basedOn w:val="9"/>
    <w:link w:val="6"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  <w:style w:type="character" w:customStyle="1" w:styleId="16">
    <w:name w:val="页脚 字符"/>
    <w:basedOn w:val="9"/>
    <w:link w:val="5"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164</Words>
  <Characters>941</Characters>
  <Lines>7</Lines>
  <Paragraphs>2</Paragraphs>
  <TotalTime>4</TotalTime>
  <ScaleCrop>false</ScaleCrop>
  <LinksUpToDate>false</LinksUpToDate>
  <CharactersWithSpaces>1103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2021-11-04T03:26:00Z</dcterms:created>
  <dc:creator>tianle</dc:creator>
  <cp:lastModifiedBy>精神病患者 ！</cp:lastModifiedBy>
  <dcterms:modified xsi:type="dcterms:W3CDTF">2022-01-14T02:49:32Z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51F0C74DFAD84CA8B00C00874F48A1BD</vt:lpwstr>
  </property>
</Properties>
</file>