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2F2F2" w:themeColor="background1" w:themeShade="F2"/>
  <w:body>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rPr>
          <w:rFonts w:ascii="Times New Roman"/>
          <w:sz w:val="20"/>
        </w:rPr>
      </w:pPr>
    </w:p>
    <w:p>
      <w:pPr>
        <w:pStyle w:val="6"/>
        <w:spacing w:before="10"/>
        <w:rPr>
          <w:rFonts w:ascii="Times New Roman"/>
          <w:sz w:val="25"/>
        </w:rPr>
      </w:pPr>
    </w:p>
    <w:p>
      <w:pPr>
        <w:pStyle w:val="11"/>
        <w:rPr>
          <w:sz w:val="44"/>
          <w:szCs w:val="44"/>
          <w:lang w:val="en-US"/>
        </w:rPr>
      </w:pPr>
      <w:r>
        <w:rPr>
          <w:rFonts w:hint="eastAsia"/>
          <w:sz w:val="44"/>
          <w:szCs w:val="44"/>
        </w:rPr>
        <w:t>云南省医用耗材集中采购交易系统</w:t>
      </w:r>
      <w:r>
        <w:rPr>
          <w:rFonts w:hint="eastAsia"/>
          <w:sz w:val="44"/>
          <w:szCs w:val="44"/>
          <w:lang w:val="en-US"/>
        </w:rPr>
        <w:t>V3.5</w:t>
      </w:r>
    </w:p>
    <w:p>
      <w:pPr>
        <w:spacing w:before="216"/>
        <w:ind w:left="405" w:right="512"/>
        <w:jc w:val="center"/>
        <w:rPr>
          <w:rFonts w:ascii="仿宋" w:eastAsia="仿宋"/>
          <w:b/>
          <w:sz w:val="40"/>
        </w:rPr>
      </w:pPr>
      <w:r>
        <w:rPr>
          <w:rFonts w:hint="eastAsia" w:ascii="仿宋" w:eastAsia="仿宋"/>
          <w:b/>
          <w:sz w:val="40"/>
        </w:rPr>
        <w:t>耗材阳光采购操作手册</w:t>
      </w:r>
    </w:p>
    <w:p>
      <w:pPr>
        <w:spacing w:before="216"/>
        <w:ind w:left="405" w:right="512"/>
        <w:jc w:val="center"/>
        <w:rPr>
          <w:rFonts w:ascii="仿宋" w:eastAsia="仿宋"/>
          <w:b/>
          <w:sz w:val="40"/>
        </w:rPr>
      </w:pPr>
      <w:r>
        <w:rPr>
          <w:rFonts w:hint="eastAsia" w:ascii="仿宋" w:eastAsia="仿宋"/>
          <w:b/>
          <w:sz w:val="40"/>
          <w:lang w:val="en-US"/>
        </w:rPr>
        <w:t>民营</w:t>
      </w:r>
      <w:r>
        <w:rPr>
          <w:rFonts w:hint="eastAsia" w:ascii="仿宋" w:eastAsia="仿宋"/>
          <w:b/>
          <w:sz w:val="40"/>
        </w:rPr>
        <w:t>医疗机构</w:t>
      </w: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rPr>
          <w:rFonts w:ascii="仿宋"/>
          <w:b/>
          <w:sz w:val="40"/>
        </w:rPr>
      </w:pPr>
    </w:p>
    <w:p>
      <w:pPr>
        <w:pStyle w:val="6"/>
        <w:spacing w:before="6"/>
        <w:rPr>
          <w:rFonts w:ascii="仿宋"/>
          <w:b/>
          <w:sz w:val="42"/>
        </w:rPr>
      </w:pPr>
    </w:p>
    <w:p>
      <w:pPr>
        <w:ind w:left="395" w:right="512"/>
        <w:jc w:val="center"/>
        <w:rPr>
          <w:b/>
          <w:sz w:val="32"/>
        </w:rPr>
      </w:pPr>
      <w:r>
        <w:rPr>
          <w:rFonts w:hint="eastAsia"/>
          <w:b/>
          <w:sz w:val="32"/>
        </w:rPr>
        <w:t>2</w:t>
      </w:r>
      <w:r>
        <w:rPr>
          <w:b/>
          <w:sz w:val="32"/>
        </w:rPr>
        <w:t>02</w:t>
      </w:r>
      <w:r>
        <w:rPr>
          <w:rFonts w:hint="eastAsia"/>
          <w:b/>
          <w:sz w:val="32"/>
          <w:lang w:val="en-US"/>
        </w:rPr>
        <w:t>2</w:t>
      </w:r>
      <w:r>
        <w:rPr>
          <w:b/>
          <w:sz w:val="32"/>
        </w:rPr>
        <w:t xml:space="preserve"> </w:t>
      </w:r>
      <w:r>
        <w:rPr>
          <w:rFonts w:hint="eastAsia"/>
          <w:b/>
          <w:sz w:val="32"/>
        </w:rPr>
        <w:t xml:space="preserve">年 </w:t>
      </w:r>
      <w:r>
        <w:rPr>
          <w:rFonts w:hint="eastAsia"/>
          <w:b/>
          <w:sz w:val="32"/>
          <w:lang w:val="en-US"/>
        </w:rPr>
        <w:t>1</w:t>
      </w:r>
      <w:r>
        <w:rPr>
          <w:b/>
          <w:sz w:val="32"/>
        </w:rPr>
        <w:t xml:space="preserve"> </w:t>
      </w:r>
      <w:r>
        <w:rPr>
          <w:rFonts w:hint="eastAsia"/>
          <w:b/>
          <w:sz w:val="32"/>
        </w:rPr>
        <w:t>月</w:t>
      </w:r>
    </w:p>
    <w:p>
      <w:pPr>
        <w:jc w:val="center"/>
        <w:rPr>
          <w:sz w:val="32"/>
        </w:rPr>
        <w:sectPr>
          <w:headerReference r:id="rId3" w:type="default"/>
          <w:headerReference r:id="rId4" w:type="even"/>
          <w:type w:val="continuous"/>
          <w:pgSz w:w="11910" w:h="16840"/>
          <w:pgMar w:top="1420" w:right="1560" w:bottom="280" w:left="1680" w:header="852" w:footer="720" w:gutter="0"/>
          <w:cols w:space="720" w:num="1"/>
        </w:sectPr>
      </w:pPr>
    </w:p>
    <w:p>
      <w:pPr>
        <w:pStyle w:val="6"/>
        <w:rPr>
          <w:b/>
          <w:sz w:val="20"/>
        </w:rPr>
      </w:pPr>
    </w:p>
    <w:p>
      <w:pPr>
        <w:pStyle w:val="6"/>
        <w:rPr>
          <w:b/>
          <w:sz w:val="20"/>
        </w:rPr>
      </w:pPr>
    </w:p>
    <w:p>
      <w:pPr>
        <w:pStyle w:val="6"/>
        <w:spacing w:before="9"/>
        <w:rPr>
          <w:b/>
          <w:sz w:val="16"/>
        </w:rPr>
      </w:pPr>
    </w:p>
    <w:p>
      <w:pPr>
        <w:spacing w:before="50"/>
        <w:ind w:left="395" w:right="512"/>
        <w:jc w:val="center"/>
        <w:rPr>
          <w:b/>
          <w:sz w:val="36"/>
        </w:rPr>
      </w:pPr>
      <w:r>
        <w:rPr>
          <w:b/>
          <w:color w:val="365F91"/>
          <w:sz w:val="36"/>
        </w:rPr>
        <w:t>目录</w:t>
      </w:r>
    </w:p>
    <w:sdt>
      <w:sdtPr>
        <w:rPr>
          <w:sz w:val="22"/>
          <w:szCs w:val="22"/>
        </w:rPr>
        <w:id w:val="597688990"/>
        <w:docPartObj>
          <w:docPartGallery w:val="Table of Contents"/>
          <w:docPartUnique/>
        </w:docPartObj>
      </w:sdtPr>
      <w:sdtEndPr>
        <w:rPr>
          <w:sz w:val="22"/>
          <w:szCs w:val="22"/>
        </w:rPr>
      </w:sdtEndPr>
      <w:sdtContent>
        <w:p>
          <w:pPr>
            <w:pStyle w:val="9"/>
            <w:tabs>
              <w:tab w:val="right" w:leader="dot" w:pos="8660"/>
            </w:tabs>
            <w:rPr>
              <w:rFonts w:asciiTheme="minorHAnsi" w:hAnsiTheme="minorHAnsi" w:eastAsiaTheme="minorEastAsia" w:cstheme="minorBidi"/>
              <w:kern w:val="2"/>
              <w:sz w:val="21"/>
              <w:szCs w:val="22"/>
              <w:lang w:val="en-US" w:bidi="ar-SA"/>
            </w:rPr>
          </w:pPr>
          <w:r>
            <w:fldChar w:fldCharType="begin"/>
          </w:r>
          <w:r>
            <w:instrText xml:space="preserve">TOC \o "1-2" \h \z \u </w:instrText>
          </w:r>
          <w:r>
            <w:fldChar w:fldCharType="separate"/>
          </w:r>
          <w:r>
            <w:fldChar w:fldCharType="begin"/>
          </w:r>
          <w:r>
            <w:instrText xml:space="preserve"> HYPERLINK \l "_Toc78024044" </w:instrText>
          </w:r>
          <w:r>
            <w:fldChar w:fldCharType="separate"/>
          </w:r>
          <w:r>
            <w:rPr>
              <w:rStyle w:val="15"/>
              <w:rFonts w:ascii="Calibri" w:hAnsi="Calibri" w:eastAsia="Calibri" w:cs="Calibri"/>
              <w:w w:val="99"/>
            </w:rPr>
            <w:t>1.</w:t>
          </w:r>
          <w:r>
            <w:rPr>
              <w:rFonts w:asciiTheme="minorHAnsi" w:hAnsiTheme="minorHAnsi" w:eastAsiaTheme="minorEastAsia" w:cstheme="minorBidi"/>
              <w:kern w:val="2"/>
              <w:sz w:val="21"/>
              <w:szCs w:val="22"/>
              <w:lang w:val="en-US" w:bidi="ar-SA"/>
            </w:rPr>
            <w:tab/>
          </w:r>
          <w:r>
            <w:rPr>
              <w:rStyle w:val="15"/>
            </w:rPr>
            <w:t>关于这本操作手册</w:t>
          </w:r>
          <w:r>
            <w:tab/>
          </w:r>
          <w:r>
            <w:fldChar w:fldCharType="begin"/>
          </w:r>
          <w:r>
            <w:instrText xml:space="preserve"> PAGEREF _Toc78024044 \h </w:instrText>
          </w:r>
          <w:r>
            <w:fldChar w:fldCharType="separate"/>
          </w:r>
          <w:r>
            <w:t>1</w:t>
          </w:r>
          <w:r>
            <w:fldChar w:fldCharType="end"/>
          </w:r>
          <w:r>
            <w:fldChar w:fldCharType="end"/>
          </w:r>
        </w:p>
        <w:p>
          <w:pPr>
            <w:pStyle w:val="9"/>
            <w:tabs>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"_Toc78024045" </w:instrText>
          </w:r>
          <w:r>
            <w:fldChar w:fldCharType="separate"/>
          </w:r>
          <w:r>
            <w:rPr>
              <w:rStyle w:val="15"/>
              <w:rFonts w:ascii="Calibri" w:hAnsi="Calibri" w:eastAsia="Calibri" w:cs="Calibri"/>
              <w:w w:val="99"/>
            </w:rPr>
            <w:t>2.</w:t>
          </w:r>
          <w:r>
            <w:rPr>
              <w:rFonts w:asciiTheme="minorHAnsi" w:hAnsiTheme="minorHAnsi" w:eastAsiaTheme="minorEastAsia" w:cstheme="minorBidi"/>
              <w:kern w:val="2"/>
              <w:sz w:val="21"/>
              <w:szCs w:val="22"/>
              <w:lang w:val="en-US" w:bidi="ar-SA"/>
            </w:rPr>
            <w:tab/>
          </w:r>
          <w:r>
            <w:rPr>
              <w:rStyle w:val="15"/>
            </w:rPr>
            <w:t>使用须知</w:t>
          </w:r>
          <w:r>
            <w:tab/>
          </w:r>
          <w:r>
            <w:fldChar w:fldCharType="begin"/>
          </w:r>
          <w:r>
            <w:instrText xml:space="preserve"> PAGEREF _Toc78024045 \h </w:instrText>
          </w:r>
          <w:r>
            <w:fldChar w:fldCharType="separate"/>
          </w:r>
          <w:r>
            <w:t>1</w:t>
          </w:r>
          <w:r>
            <w:fldChar w:fldCharType="end"/>
          </w:r>
          <w:r>
            <w:fldChar w:fldCharType="end"/>
          </w:r>
        </w:p>
        <w:p>
          <w:pPr>
            <w:pStyle w:val="9"/>
            <w:tabs>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"_Toc78024046" </w:instrText>
          </w:r>
          <w:r>
            <w:fldChar w:fldCharType="separate"/>
          </w:r>
          <w:r>
            <w:rPr>
              <w:rStyle w:val="15"/>
              <w:rFonts w:ascii="Calibri" w:hAnsi="Calibri" w:eastAsia="Calibri" w:cs="Calibri"/>
              <w:w w:val="99"/>
            </w:rPr>
            <w:t>3.</w:t>
          </w:r>
          <w:r>
            <w:rPr>
              <w:rFonts w:asciiTheme="minorHAnsi" w:hAnsiTheme="minorHAnsi" w:eastAsiaTheme="minorEastAsia" w:cstheme="minorBidi"/>
              <w:kern w:val="2"/>
              <w:sz w:val="21"/>
              <w:szCs w:val="22"/>
              <w:lang w:val="en-US" w:bidi="ar-SA"/>
            </w:rPr>
            <w:tab/>
          </w:r>
          <w:r>
            <w:rPr>
              <w:rStyle w:val="15"/>
            </w:rPr>
            <w:t>系统介绍</w:t>
          </w:r>
          <w:r>
            <w:tab/>
          </w:r>
          <w:r>
            <w:fldChar w:fldCharType="begin"/>
          </w:r>
          <w:r>
            <w:instrText xml:space="preserve"> PAGEREF _Toc78024046 \h </w:instrText>
          </w:r>
          <w:r>
            <w:fldChar w:fldCharType="separate"/>
          </w:r>
          <w:r>
            <w:t>2</w:t>
          </w:r>
          <w:r>
            <w:fldChar w:fldCharType="end"/>
          </w:r>
          <w:r>
            <w:fldChar w:fldCharType="end"/>
          </w:r>
        </w:p>
        <w:p>
          <w:pPr>
            <w:pStyle w:val="9"/>
            <w:tabs>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"_Toc78024047" </w:instrText>
          </w:r>
          <w:r>
            <w:fldChar w:fldCharType="separate"/>
          </w:r>
          <w:r>
            <w:rPr>
              <w:rStyle w:val="15"/>
              <w:rFonts w:ascii="Calibri" w:hAnsi="Calibri" w:eastAsia="Calibri" w:cs="Calibri"/>
              <w:w w:val="99"/>
            </w:rPr>
            <w:t>4.</w:t>
          </w:r>
          <w:r>
            <w:rPr>
              <w:rFonts w:asciiTheme="minorHAnsi" w:hAnsiTheme="minorHAnsi" w:eastAsiaTheme="minorEastAsia" w:cstheme="minorBidi"/>
              <w:kern w:val="2"/>
              <w:sz w:val="21"/>
              <w:szCs w:val="22"/>
              <w:lang w:val="en-US" w:bidi="ar-SA"/>
            </w:rPr>
            <w:tab/>
          </w:r>
          <w:r>
            <w:rPr>
              <w:rStyle w:val="15"/>
            </w:rPr>
            <w:t>操作流程</w:t>
          </w:r>
          <w:r>
            <w:tab/>
          </w:r>
          <w:r>
            <w:fldChar w:fldCharType="begin"/>
          </w:r>
          <w:r>
            <w:instrText xml:space="preserve"> PAGEREF _Toc78024047 \h </w:instrText>
          </w:r>
          <w:r>
            <w:fldChar w:fldCharType="separate"/>
          </w:r>
          <w:r>
            <w:t>3</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"_Toc78024048" </w:instrText>
          </w:r>
          <w:r>
            <w:fldChar w:fldCharType="separate"/>
          </w:r>
          <w:r>
            <w:rPr>
              <w:rStyle w:val="15"/>
              <w:rFonts w:ascii="Cambria" w:hAnsi="Cambria" w:eastAsia="Cambria" w:cs="Cambria"/>
              <w:w w:val="99"/>
            </w:rPr>
            <w:t>4.1.</w:t>
          </w:r>
          <w:r>
            <w:rPr>
              <w:rFonts w:asciiTheme="minorHAnsi" w:hAnsiTheme="minorHAnsi" w:eastAsiaTheme="minorEastAsia" w:cstheme="minorBidi"/>
              <w:kern w:val="2"/>
              <w:sz w:val="21"/>
              <w:szCs w:val="22"/>
              <w:lang w:val="en-US" w:bidi="ar-SA"/>
            </w:rPr>
            <w:tab/>
          </w:r>
          <w:r>
            <w:rPr>
              <w:rStyle w:val="15"/>
            </w:rPr>
            <w:t>登录</w:t>
          </w:r>
          <w:r>
            <w:tab/>
          </w:r>
          <w:r>
            <w:fldChar w:fldCharType="begin"/>
          </w:r>
          <w:r>
            <w:instrText xml:space="preserve"> PAGEREF _Toc78024048 \h </w:instrText>
          </w:r>
          <w:r>
            <w:fldChar w:fldCharType="separate"/>
          </w:r>
          <w:r>
            <w:t>3</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"_Toc78024049" </w:instrText>
          </w:r>
          <w:r>
            <w:fldChar w:fldCharType="separate"/>
          </w:r>
          <w:r>
            <w:rPr>
              <w:rStyle w:val="15"/>
              <w:rFonts w:ascii="Cambria" w:hAnsi="Cambria" w:eastAsia="Cambria" w:cs="Cambria"/>
              <w:w w:val="99"/>
            </w:rPr>
            <w:t>4.2.</w:t>
          </w:r>
          <w:r>
            <w:rPr>
              <w:rFonts w:asciiTheme="minorHAnsi" w:hAnsiTheme="minorHAnsi" w:eastAsiaTheme="minorEastAsia" w:cstheme="minorBidi"/>
              <w:kern w:val="2"/>
              <w:sz w:val="21"/>
              <w:szCs w:val="22"/>
              <w:lang w:val="en-US" w:bidi="ar-SA"/>
            </w:rPr>
            <w:tab/>
          </w:r>
          <w:r>
            <w:rPr>
              <w:rStyle w:val="15"/>
            </w:rPr>
            <w:t>商品管理</w:t>
          </w:r>
          <w:r>
            <w:tab/>
          </w:r>
          <w:r>
            <w:fldChar w:fldCharType="begin"/>
          </w:r>
          <w:r>
            <w:instrText xml:space="preserve"> PAGEREF _Toc78024049 \h </w:instrText>
          </w:r>
          <w:r>
            <w:fldChar w:fldCharType="separate"/>
          </w:r>
          <w:r>
            <w:t>5</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"_Toc78024050" </w:instrText>
          </w:r>
          <w:r>
            <w:fldChar w:fldCharType="separate"/>
          </w:r>
          <w:r>
            <w:rPr>
              <w:rStyle w:val="15"/>
              <w:rFonts w:ascii="Cambria" w:hAnsi="Cambria" w:eastAsia="Cambria" w:cs="Cambria"/>
              <w:w w:val="99"/>
            </w:rPr>
            <w:t>4.3.</w:t>
          </w:r>
          <w:r>
            <w:rPr>
              <w:rFonts w:asciiTheme="minorHAnsi" w:hAnsiTheme="minorHAnsi" w:eastAsiaTheme="minorEastAsia" w:cstheme="minorBidi"/>
              <w:kern w:val="2"/>
              <w:sz w:val="21"/>
              <w:szCs w:val="22"/>
              <w:lang w:val="en-US" w:bidi="ar-SA"/>
            </w:rPr>
            <w:tab/>
          </w:r>
          <w:r>
            <w:rPr>
              <w:rStyle w:val="15"/>
            </w:rPr>
            <w:t>维护常用目录</w:t>
          </w:r>
          <w:r>
            <w:tab/>
          </w:r>
          <w:r>
            <w:fldChar w:fldCharType="begin"/>
          </w:r>
          <w:r>
            <w:instrText xml:space="preserve"> PAGEREF _Toc78024050 \h </w:instrText>
          </w:r>
          <w:r>
            <w:fldChar w:fldCharType="separate"/>
          </w:r>
          <w:r>
            <w:t>5</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"_Toc78024051" </w:instrText>
          </w:r>
          <w:r>
            <w:fldChar w:fldCharType="separate"/>
          </w:r>
          <w:r>
            <w:rPr>
              <w:rStyle w:val="15"/>
              <w:rFonts w:ascii="Cambria" w:hAnsi="Cambria" w:eastAsia="Cambria" w:cs="Cambria"/>
              <w:w w:val="99"/>
            </w:rPr>
            <w:t>4.4.</w:t>
          </w:r>
          <w:r>
            <w:rPr>
              <w:rFonts w:asciiTheme="minorHAnsi" w:hAnsiTheme="minorHAnsi" w:eastAsiaTheme="minorEastAsia" w:cstheme="minorBidi"/>
              <w:kern w:val="2"/>
              <w:sz w:val="21"/>
              <w:szCs w:val="22"/>
              <w:lang w:val="en-US" w:bidi="ar-SA"/>
            </w:rPr>
            <w:tab/>
          </w:r>
          <w:r>
            <w:rPr>
              <w:rStyle w:val="15"/>
            </w:rPr>
            <w:t>订单管理</w:t>
          </w:r>
          <w:r>
            <w:tab/>
          </w:r>
          <w:r>
            <w:fldChar w:fldCharType="begin"/>
          </w:r>
          <w:r>
            <w:instrText xml:space="preserve"> PAGEREF _Toc78024051 \h </w:instrText>
          </w:r>
          <w:r>
            <w:fldChar w:fldCharType="separate"/>
          </w:r>
          <w:r>
            <w:t>7</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"_Toc78024052" </w:instrText>
          </w:r>
          <w:r>
            <w:fldChar w:fldCharType="separate"/>
          </w:r>
          <w:r>
            <w:rPr>
              <w:rStyle w:val="15"/>
              <w:rFonts w:ascii="Cambria" w:hAnsi="Cambria" w:eastAsia="Cambria" w:cs="Cambria"/>
              <w:w w:val="99"/>
            </w:rPr>
            <w:t>4.5.</w:t>
          </w:r>
          <w:r>
            <w:rPr>
              <w:rFonts w:asciiTheme="minorHAnsi" w:hAnsiTheme="minorHAnsi" w:eastAsiaTheme="minorEastAsia" w:cstheme="minorBidi"/>
              <w:kern w:val="2"/>
              <w:sz w:val="21"/>
              <w:szCs w:val="22"/>
              <w:lang w:val="en-US" w:bidi="ar-SA"/>
            </w:rPr>
            <w:tab/>
          </w:r>
          <w:r>
            <w:rPr>
              <w:rStyle w:val="15"/>
            </w:rPr>
            <w:t>采购统计</w:t>
          </w:r>
          <w:r>
            <w:tab/>
          </w:r>
          <w:r>
            <w:fldChar w:fldCharType="begin"/>
          </w:r>
          <w:r>
            <w:instrText xml:space="preserve"> PAGEREF _Toc78024052 \h </w:instrText>
          </w:r>
          <w:r>
            <w:fldChar w:fldCharType="separate"/>
          </w:r>
          <w:r>
            <w:t>9</w:t>
          </w:r>
          <w:r>
            <w:fldChar w:fldCharType="end"/>
          </w:r>
          <w:r>
            <w:fldChar w:fldCharType="end"/>
          </w:r>
        </w:p>
        <w:p>
          <w:pPr>
            <w:pStyle w:val="10"/>
            <w:tabs>
              <w:tab w:val="left" w:pos="1245"/>
              <w:tab w:val="right" w:leader="dot" w:pos="8660"/>
            </w:tabs>
            <w:rPr>
              <w:rFonts w:asciiTheme="minorHAnsi" w:hAnsiTheme="minorHAnsi" w:eastAsiaTheme="minorEastAsia" w:cstheme="minorBidi"/>
              <w:kern w:val="2"/>
              <w:sz w:val="21"/>
              <w:szCs w:val="22"/>
              <w:lang w:val="en-US" w:bidi="ar-SA"/>
            </w:rPr>
          </w:pPr>
          <w:r>
            <w:fldChar w:fldCharType="begin"/>
          </w:r>
          <w:r>
            <w:instrText xml:space="preserve"> HYPERLINK \l "_Toc78024053" </w:instrText>
          </w:r>
          <w:r>
            <w:fldChar w:fldCharType="separate"/>
          </w:r>
          <w:r>
            <w:rPr>
              <w:rStyle w:val="15"/>
              <w:rFonts w:ascii="Cambria" w:hAnsi="Cambria" w:eastAsia="Cambria" w:cs="Cambria"/>
              <w:w w:val="99"/>
            </w:rPr>
            <w:t>4.6.</w:t>
          </w:r>
          <w:r>
            <w:rPr>
              <w:rFonts w:asciiTheme="minorHAnsi" w:hAnsiTheme="minorHAnsi" w:eastAsiaTheme="minorEastAsia" w:cstheme="minorBidi"/>
              <w:kern w:val="2"/>
              <w:sz w:val="21"/>
              <w:szCs w:val="22"/>
              <w:lang w:val="en-US" w:bidi="ar-SA"/>
            </w:rPr>
            <w:tab/>
          </w:r>
          <w:r>
            <w:rPr>
              <w:rStyle w:val="15"/>
            </w:rPr>
            <w:t>收货管理</w:t>
          </w:r>
          <w:r>
            <w:tab/>
          </w:r>
          <w:r>
            <w:fldChar w:fldCharType="begin"/>
          </w:r>
          <w:r>
            <w:instrText xml:space="preserve"> PAGEREF _Toc78024053 \h </w:instrText>
          </w:r>
          <w:r>
            <w:fldChar w:fldCharType="separate"/>
          </w:r>
          <w:r>
            <w:t>1</w:t>
          </w:r>
          <w:r>
            <w:rPr>
              <w:rFonts w:hint="eastAsia"/>
              <w:lang w:val="en-US"/>
            </w:rPr>
            <w:t>2</w:t>
          </w:r>
          <w:r>
            <w:fldChar w:fldCharType="end"/>
          </w:r>
          <w:r>
            <w:fldChar w:fldCharType="end"/>
          </w:r>
        </w:p>
        <w:p>
          <w:pPr>
            <w:pStyle w:val="10"/>
            <w:tabs>
              <w:tab w:val="left" w:pos="1245"/>
              <w:tab w:val="right" w:leader="dot" w:pos="8660"/>
            </w:tabs>
            <w:rPr>
              <w:rFonts w:asciiTheme="minorHAnsi" w:hAnsiTheme="minorHAnsi" w:cstheme="minorBidi"/>
              <w:kern w:val="2"/>
              <w:sz w:val="21"/>
              <w:szCs w:val="22"/>
              <w:lang w:val="en-US" w:bidi="ar-SA"/>
            </w:rPr>
          </w:pPr>
          <w:r>
            <w:fldChar w:fldCharType="begin"/>
          </w:r>
          <w:r>
            <w:instrText xml:space="preserve"> HYPERLINK \l "_Toc78024054" </w:instrText>
          </w:r>
          <w:r>
            <w:fldChar w:fldCharType="separate"/>
          </w:r>
          <w:r>
            <w:rPr>
              <w:rStyle w:val="15"/>
              <w:rFonts w:ascii="Cambria" w:hAnsi="Cambria" w:eastAsia="Cambria" w:cs="Cambria"/>
              <w:w w:val="99"/>
            </w:rPr>
            <w:t>4.7.</w:t>
          </w:r>
          <w:r>
            <w:rPr>
              <w:rFonts w:asciiTheme="minorHAnsi" w:hAnsiTheme="minorHAnsi" w:eastAsiaTheme="minorEastAsia" w:cstheme="minorBidi"/>
              <w:kern w:val="2"/>
              <w:sz w:val="21"/>
              <w:szCs w:val="22"/>
              <w:lang w:val="en-US" w:bidi="ar-SA"/>
            </w:rPr>
            <w:tab/>
          </w:r>
          <w:r>
            <w:rPr>
              <w:rStyle w:val="15"/>
            </w:rPr>
            <w:t>退货管理</w:t>
          </w:r>
          <w:r>
            <w:tab/>
          </w:r>
          <w:r>
            <w:rPr>
              <w:rFonts w:hint="eastAsia"/>
              <w:lang w:val="en-US"/>
            </w:rPr>
            <w:t>1</w:t>
          </w:r>
          <w:r>
            <w:rPr>
              <w:rFonts w:hint="eastAsia"/>
              <w:lang w:val="en-US"/>
            </w:rPr>
            <w:fldChar w:fldCharType="end"/>
          </w:r>
          <w:r>
            <w:rPr>
              <w:rFonts w:hint="eastAsia"/>
              <w:lang w:val="en-US"/>
            </w:rPr>
            <w:t>4</w:t>
          </w:r>
        </w:p>
        <w:p>
          <w:r>
            <w:fldChar w:fldCharType="end"/>
          </w:r>
        </w:p>
      </w:sdtContent>
    </w:sdt>
    <w:p>
      <w:pPr>
        <w:sectPr>
          <w:pgSz w:w="11910" w:h="16840"/>
          <w:pgMar w:top="1420" w:right="1560" w:bottom="280" w:left="1680" w:header="852" w:footer="0" w:gutter="0"/>
          <w:cols w:space="720" w:num="1"/>
        </w:sectPr>
      </w:pPr>
    </w:p>
    <w:p>
      <w:pPr>
        <w:pStyle w:val="6"/>
        <w:rPr>
          <w:rFonts w:ascii="黑体"/>
          <w:sz w:val="20"/>
        </w:rPr>
      </w:pPr>
    </w:p>
    <w:p/>
    <w:p>
      <w:pPr>
        <w:pStyle w:val="2"/>
        <w:numPr>
          <w:ilvl w:val="0"/>
          <w:numId w:val="1"/>
        </w:numPr>
        <w:tabs>
          <w:tab w:val="left" w:pos="545"/>
        </w:tabs>
      </w:pPr>
      <w:bookmarkStart w:id="0" w:name="1.登录界面"/>
      <w:bookmarkEnd w:id="0"/>
      <w:bookmarkStart w:id="1" w:name="_Toc78024044"/>
      <w:r>
        <w:rPr>
          <w:rFonts w:hint="eastAsia"/>
        </w:rPr>
        <w:t>关于这本操作手册</w:t>
      </w:r>
      <w:bookmarkEnd w:id="1"/>
    </w:p>
    <w:p>
      <w:pPr>
        <w:spacing w:before="57"/>
        <w:ind w:right="512"/>
        <w:rPr>
          <w:rFonts w:ascii="黑体" w:eastAsiaTheme="minorEastAsia"/>
          <w:sz w:val="20"/>
        </w:rPr>
      </w:pPr>
    </w:p>
    <w:p>
      <w:pPr>
        <w:spacing w:line="360" w:lineRule="auto"/>
        <w:ind w:left="119" w:firstLine="482"/>
        <w:rPr>
          <w:spacing w:val="-4"/>
          <w:sz w:val="24"/>
        </w:rPr>
      </w:pPr>
      <w:r>
        <w:rPr>
          <w:rFonts w:hint="eastAsia"/>
          <w:spacing w:val="-4"/>
          <w:sz w:val="24"/>
        </w:rPr>
        <w:t>该用户手册包含了您在使用“</w:t>
      </w:r>
      <w:r>
        <w:rPr>
          <w:rFonts w:hint="eastAsia"/>
          <w:color w:val="FF0000"/>
          <w:spacing w:val="-4"/>
          <w:sz w:val="24"/>
        </w:rPr>
        <w:t>云南省医用耗材集中采购交易系统</w:t>
      </w:r>
      <w:r>
        <w:rPr>
          <w:rFonts w:hint="eastAsia"/>
          <w:color w:val="FF0000"/>
          <w:spacing w:val="-4"/>
          <w:sz w:val="24"/>
          <w:lang w:val="en-US"/>
        </w:rPr>
        <w:t>V3.5</w:t>
      </w:r>
      <w:r>
        <w:rPr>
          <w:rFonts w:hint="eastAsia"/>
          <w:color w:val="FF0000"/>
          <w:spacing w:val="-4"/>
          <w:sz w:val="24"/>
        </w:rPr>
        <w:t>-耗材阳光采购</w:t>
      </w:r>
      <w:r>
        <w:rPr>
          <w:rFonts w:hint="eastAsia"/>
          <w:color w:val="FF0000"/>
          <w:spacing w:val="-4"/>
          <w:sz w:val="24"/>
          <w:lang w:val="en-US"/>
        </w:rPr>
        <w:t>民营</w:t>
      </w:r>
      <w:bookmarkStart w:id="14" w:name="_GoBack"/>
      <w:bookmarkEnd w:id="14"/>
      <w:r>
        <w:rPr>
          <w:rFonts w:hint="eastAsia"/>
          <w:color w:val="FF0000"/>
          <w:spacing w:val="-4"/>
          <w:sz w:val="24"/>
        </w:rPr>
        <w:t>系统</w:t>
      </w:r>
      <w:r>
        <w:rPr>
          <w:rFonts w:hint="eastAsia"/>
          <w:spacing w:val="-4"/>
          <w:sz w:val="24"/>
        </w:rPr>
        <w:t>”时所需了解的信息，手册中所出现的用户名称及相关数据均为系统测试数据，不作为任何正式的使用依据。</w:t>
      </w:r>
    </w:p>
    <w:p>
      <w:pPr>
        <w:spacing w:line="360" w:lineRule="auto"/>
        <w:ind w:left="119" w:firstLine="482"/>
      </w:pPr>
      <w:r>
        <w:rPr>
          <w:rFonts w:hint="eastAsia"/>
          <w:spacing w:val="-4"/>
          <w:sz w:val="24"/>
        </w:rPr>
        <w:t>该操作手册所对应的主体为</w:t>
      </w:r>
      <w:r>
        <w:rPr>
          <w:rFonts w:hint="eastAsia"/>
          <w:color w:val="FF0000"/>
          <w:spacing w:val="-4"/>
          <w:sz w:val="24"/>
          <w:lang w:val="en-US"/>
        </w:rPr>
        <w:t>民营</w:t>
      </w:r>
      <w:r>
        <w:rPr>
          <w:rFonts w:hint="eastAsia"/>
          <w:color w:val="FF0000"/>
          <w:spacing w:val="-4"/>
          <w:sz w:val="24"/>
        </w:rPr>
        <w:t>医疗机构</w:t>
      </w:r>
      <w:r>
        <w:rPr>
          <w:rFonts w:hint="eastAsia"/>
          <w:spacing w:val="-4"/>
          <w:sz w:val="24"/>
        </w:rPr>
        <w:t>用户，用户可查看耗材阳光采购目录、勾选采购目录、与厂家进行产品议价、发送订单、订单收货等相关操作。</w:t>
      </w:r>
    </w:p>
    <w:p>
      <w:pPr>
        <w:pStyle w:val="6"/>
        <w:spacing w:before="9"/>
        <w:rPr>
          <w:sz w:val="32"/>
        </w:rPr>
      </w:pPr>
    </w:p>
    <w:p>
      <w:pPr>
        <w:pStyle w:val="2"/>
        <w:numPr>
          <w:ilvl w:val="0"/>
          <w:numId w:val="1"/>
        </w:numPr>
        <w:tabs>
          <w:tab w:val="left" w:pos="545"/>
        </w:tabs>
      </w:pPr>
      <w:bookmarkStart w:id="2" w:name="_Toc78024045"/>
      <w:r>
        <w:rPr>
          <w:rFonts w:hint="eastAsia"/>
        </w:rPr>
        <w:t>使用须知</w:t>
      </w:r>
      <w:bookmarkEnd w:id="2"/>
    </w:p>
    <w:p>
      <w:pPr>
        <w:spacing w:before="57"/>
        <w:ind w:right="512"/>
        <w:rPr>
          <w:rFonts w:ascii="黑体" w:eastAsiaTheme="minorEastAsia"/>
          <w:sz w:val="20"/>
        </w:rPr>
      </w:pPr>
    </w:p>
    <w:p>
      <w:pPr>
        <w:pStyle w:val="17"/>
        <w:numPr>
          <w:ilvl w:val="0"/>
          <w:numId w:val="2"/>
        </w:numPr>
        <w:rPr>
          <w:spacing w:val="-4"/>
          <w:sz w:val="24"/>
          <w:szCs w:val="24"/>
        </w:rPr>
      </w:pPr>
      <w:r>
        <w:rPr>
          <w:rFonts w:hint="eastAsia"/>
          <w:spacing w:val="-4"/>
          <w:sz w:val="24"/>
          <w:szCs w:val="24"/>
        </w:rPr>
        <w:t>操作系统相关需求</w:t>
      </w:r>
    </w:p>
    <w:p>
      <w:pPr>
        <w:pStyle w:val="17"/>
        <w:ind w:left="1080" w:firstLine="0"/>
        <w:rPr>
          <w:spacing w:val="-4"/>
          <w:sz w:val="24"/>
          <w:szCs w:val="24"/>
        </w:rPr>
      </w:pPr>
    </w:p>
    <w:tbl>
      <w:tblPr>
        <w:tblStyle w:val="13"/>
        <w:tblW w:w="0" w:type="auto"/>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559"/>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序号</w:t>
            </w:r>
          </w:p>
        </w:tc>
        <w:tc>
          <w:tcPr>
            <w:tcW w:w="1559" w:type="dxa"/>
          </w:tcPr>
          <w:p>
            <w:pPr>
              <w:rPr>
                <w:sz w:val="24"/>
                <w:szCs w:val="24"/>
              </w:rPr>
            </w:pPr>
            <w:r>
              <w:rPr>
                <w:rFonts w:hint="eastAsia"/>
                <w:sz w:val="24"/>
                <w:szCs w:val="24"/>
              </w:rPr>
              <w:t>硬件或软件</w:t>
            </w:r>
          </w:p>
        </w:tc>
        <w:tc>
          <w:tcPr>
            <w:tcW w:w="6226" w:type="dxa"/>
          </w:tcPr>
          <w:p>
            <w:pPr>
              <w:rPr>
                <w:sz w:val="24"/>
                <w:szCs w:val="24"/>
              </w:rPr>
            </w:pPr>
            <w:r>
              <w:rPr>
                <w:rFonts w:hint="eastAsia"/>
                <w:sz w:val="24"/>
                <w:szCs w:val="24"/>
              </w:rPr>
              <w:t>客户端最低配置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1</w:t>
            </w:r>
          </w:p>
        </w:tc>
        <w:tc>
          <w:tcPr>
            <w:tcW w:w="1559" w:type="dxa"/>
          </w:tcPr>
          <w:p>
            <w:pPr>
              <w:rPr>
                <w:sz w:val="24"/>
                <w:szCs w:val="24"/>
              </w:rPr>
            </w:pPr>
            <w:r>
              <w:rPr>
                <w:rFonts w:hint="eastAsia"/>
                <w:sz w:val="24"/>
                <w:szCs w:val="24"/>
              </w:rPr>
              <w:t>CPU</w:t>
            </w:r>
          </w:p>
        </w:tc>
        <w:tc>
          <w:tcPr>
            <w:tcW w:w="6226" w:type="dxa"/>
          </w:tcPr>
          <w:p>
            <w:pPr>
              <w:rPr>
                <w:sz w:val="24"/>
                <w:szCs w:val="24"/>
              </w:rPr>
            </w:pPr>
            <w:r>
              <w:rPr>
                <w:sz w:val="24"/>
                <w:szCs w:val="24"/>
              </w:rPr>
              <w:t>1.70GHz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2</w:t>
            </w:r>
          </w:p>
        </w:tc>
        <w:tc>
          <w:tcPr>
            <w:tcW w:w="1559" w:type="dxa"/>
          </w:tcPr>
          <w:p>
            <w:pPr>
              <w:rPr>
                <w:sz w:val="24"/>
                <w:szCs w:val="24"/>
              </w:rPr>
            </w:pPr>
            <w:r>
              <w:rPr>
                <w:rFonts w:hint="eastAsia"/>
                <w:sz w:val="24"/>
                <w:szCs w:val="24"/>
              </w:rPr>
              <w:t>内存</w:t>
            </w:r>
          </w:p>
        </w:tc>
        <w:tc>
          <w:tcPr>
            <w:tcW w:w="6226" w:type="dxa"/>
          </w:tcPr>
          <w:p>
            <w:pPr>
              <w:rPr>
                <w:sz w:val="24"/>
                <w:szCs w:val="24"/>
              </w:rPr>
            </w:pPr>
            <w:r>
              <w:rPr>
                <w:rFonts w:hint="eastAsia"/>
                <w:sz w:val="24"/>
                <w:szCs w:val="24"/>
              </w:rPr>
              <w:t>2GB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3</w:t>
            </w:r>
          </w:p>
        </w:tc>
        <w:tc>
          <w:tcPr>
            <w:tcW w:w="1559" w:type="dxa"/>
          </w:tcPr>
          <w:p>
            <w:pPr>
              <w:rPr>
                <w:sz w:val="24"/>
                <w:szCs w:val="24"/>
              </w:rPr>
            </w:pPr>
            <w:r>
              <w:rPr>
                <w:rFonts w:hint="eastAsia"/>
                <w:sz w:val="24"/>
                <w:szCs w:val="24"/>
              </w:rPr>
              <w:t>显示器</w:t>
            </w:r>
          </w:p>
        </w:tc>
        <w:tc>
          <w:tcPr>
            <w:tcW w:w="6226" w:type="dxa"/>
          </w:tcPr>
          <w:p>
            <w:pPr>
              <w:rPr>
                <w:sz w:val="24"/>
                <w:szCs w:val="24"/>
              </w:rPr>
            </w:pPr>
            <w:r>
              <w:rPr>
                <w:sz w:val="24"/>
                <w:szCs w:val="24"/>
              </w:rPr>
              <w:t>1024*768/256 色分辨率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sz w:val="24"/>
                <w:szCs w:val="24"/>
              </w:rPr>
            </w:pPr>
            <w:r>
              <w:rPr>
                <w:rFonts w:hint="eastAsia"/>
                <w:sz w:val="24"/>
                <w:szCs w:val="24"/>
              </w:rPr>
              <w:t>4</w:t>
            </w:r>
          </w:p>
        </w:tc>
        <w:tc>
          <w:tcPr>
            <w:tcW w:w="1559" w:type="dxa"/>
          </w:tcPr>
          <w:p>
            <w:pPr>
              <w:rPr>
                <w:sz w:val="24"/>
                <w:szCs w:val="24"/>
              </w:rPr>
            </w:pPr>
            <w:r>
              <w:rPr>
                <w:rFonts w:hint="eastAsia"/>
                <w:sz w:val="24"/>
                <w:szCs w:val="24"/>
              </w:rPr>
              <w:t>网络</w:t>
            </w:r>
          </w:p>
        </w:tc>
        <w:tc>
          <w:tcPr>
            <w:tcW w:w="6226" w:type="dxa"/>
          </w:tcPr>
          <w:p>
            <w:pPr>
              <w:rPr>
                <w:sz w:val="24"/>
                <w:szCs w:val="24"/>
              </w:rPr>
            </w:pPr>
            <w:r>
              <w:rPr>
                <w:rFonts w:hint="eastAsia"/>
                <w:sz w:val="24"/>
                <w:szCs w:val="24"/>
              </w:rPr>
              <w:t>1</w:t>
            </w:r>
            <w:r>
              <w:rPr>
                <w:sz w:val="24"/>
                <w:szCs w:val="24"/>
              </w:rPr>
              <w:t>M</w:t>
            </w:r>
            <w:r>
              <w:rPr>
                <w:rFonts w:hint="eastAsia"/>
                <w:sz w:val="24"/>
                <w:szCs w:val="24"/>
              </w:rPr>
              <w:t>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4" w:type="dxa"/>
          </w:tcPr>
          <w:p>
            <w:pPr>
              <w:rPr>
                <w:color w:val="FF0000"/>
                <w:sz w:val="24"/>
                <w:szCs w:val="24"/>
              </w:rPr>
            </w:pPr>
            <w:r>
              <w:rPr>
                <w:rFonts w:hint="eastAsia"/>
                <w:color w:val="FF0000"/>
                <w:sz w:val="24"/>
                <w:szCs w:val="24"/>
              </w:rPr>
              <w:t>5</w:t>
            </w:r>
          </w:p>
        </w:tc>
        <w:tc>
          <w:tcPr>
            <w:tcW w:w="1559" w:type="dxa"/>
          </w:tcPr>
          <w:p>
            <w:pPr>
              <w:rPr>
                <w:color w:val="FF0000"/>
                <w:sz w:val="24"/>
                <w:szCs w:val="24"/>
              </w:rPr>
            </w:pPr>
            <w:r>
              <w:rPr>
                <w:rFonts w:hint="eastAsia"/>
                <w:color w:val="FF0000"/>
                <w:sz w:val="24"/>
                <w:szCs w:val="24"/>
              </w:rPr>
              <w:t>浏览器</w:t>
            </w:r>
          </w:p>
        </w:tc>
        <w:tc>
          <w:tcPr>
            <w:tcW w:w="6226" w:type="dxa"/>
          </w:tcPr>
          <w:p>
            <w:pPr>
              <w:rPr>
                <w:color w:val="FF0000"/>
                <w:sz w:val="24"/>
                <w:szCs w:val="24"/>
              </w:rPr>
            </w:pPr>
            <w:r>
              <w:rPr>
                <w:color w:val="FF0000"/>
                <w:sz w:val="24"/>
                <w:szCs w:val="24"/>
              </w:rPr>
              <w:t>谷歌</w:t>
            </w:r>
            <w:r>
              <w:rPr>
                <w:rFonts w:hint="eastAsia"/>
                <w:color w:val="FF0000"/>
                <w:sz w:val="24"/>
                <w:szCs w:val="24"/>
              </w:rPr>
              <w:t>浏览器</w:t>
            </w:r>
            <w:r>
              <w:rPr>
                <w:color w:val="FF0000"/>
                <w:sz w:val="24"/>
                <w:szCs w:val="24"/>
              </w:rPr>
              <w:t>、360</w:t>
            </w:r>
            <w:r>
              <w:rPr>
                <w:rFonts w:hint="eastAsia"/>
                <w:color w:val="FF0000"/>
                <w:sz w:val="24"/>
                <w:szCs w:val="24"/>
              </w:rPr>
              <w:t>安全</w:t>
            </w:r>
            <w:r>
              <w:rPr>
                <w:color w:val="FF0000"/>
                <w:sz w:val="24"/>
                <w:szCs w:val="24"/>
              </w:rPr>
              <w:t>浏览器</w:t>
            </w:r>
            <w:r>
              <w:rPr>
                <w:rFonts w:hint="eastAsia"/>
                <w:color w:val="FF0000"/>
                <w:sz w:val="24"/>
                <w:szCs w:val="24"/>
              </w:rPr>
              <w:t>（极速模式）</w:t>
            </w:r>
            <w:r>
              <w:rPr>
                <w:color w:val="FF0000"/>
                <w:sz w:val="24"/>
                <w:szCs w:val="24"/>
              </w:rPr>
              <w:t>、</w:t>
            </w:r>
            <w:r>
              <w:rPr>
                <w:rFonts w:hint="eastAsia"/>
                <w:color w:val="FF0000"/>
                <w:sz w:val="24"/>
                <w:szCs w:val="24"/>
              </w:rPr>
              <w:t>火狐</w:t>
            </w:r>
            <w:r>
              <w:rPr>
                <w:color w:val="FF0000"/>
                <w:sz w:val="24"/>
                <w:szCs w:val="24"/>
              </w:rPr>
              <w:t>浏览器</w:t>
            </w:r>
          </w:p>
        </w:tc>
      </w:tr>
    </w:tbl>
    <w:p>
      <w:pPr>
        <w:pStyle w:val="17"/>
        <w:ind w:left="1080" w:firstLine="0"/>
        <w:rPr>
          <w:sz w:val="24"/>
          <w:szCs w:val="24"/>
        </w:rPr>
      </w:pPr>
    </w:p>
    <w:p>
      <w:pPr>
        <w:pStyle w:val="17"/>
        <w:numPr>
          <w:ilvl w:val="0"/>
          <w:numId w:val="2"/>
        </w:numPr>
        <w:rPr>
          <w:sz w:val="24"/>
          <w:szCs w:val="24"/>
        </w:rPr>
      </w:pPr>
      <w:r>
        <w:rPr>
          <w:sz w:val="24"/>
          <w:szCs w:val="24"/>
        </w:rPr>
        <w:t>平台相关操作须知</w:t>
      </w:r>
    </w:p>
    <w:p>
      <w:pPr>
        <w:pStyle w:val="17"/>
        <w:ind w:left="1080" w:firstLine="0"/>
        <w:rPr>
          <w:sz w:val="24"/>
          <w:szCs w:val="24"/>
        </w:rPr>
      </w:pPr>
    </w:p>
    <w:p>
      <w:pPr>
        <w:pStyle w:val="17"/>
        <w:numPr>
          <w:ilvl w:val="0"/>
          <w:numId w:val="3"/>
        </w:numPr>
        <w:spacing w:line="360" w:lineRule="auto"/>
        <w:ind w:left="1434" w:hanging="357"/>
        <w:rPr>
          <w:sz w:val="24"/>
          <w:szCs w:val="24"/>
        </w:rPr>
      </w:pPr>
      <w:r>
        <w:rPr>
          <w:rFonts w:hint="eastAsia"/>
          <w:sz w:val="24"/>
          <w:szCs w:val="24"/>
        </w:rPr>
        <w:t>用户</w:t>
      </w:r>
      <w:r>
        <w:rPr>
          <w:sz w:val="24"/>
          <w:szCs w:val="24"/>
        </w:rPr>
        <w:t>首次登陆平台，必须尽快修改账号登录密码， 以免造成信息泄露。</w:t>
      </w:r>
    </w:p>
    <w:p>
      <w:pPr>
        <w:pStyle w:val="17"/>
        <w:numPr>
          <w:ilvl w:val="0"/>
          <w:numId w:val="3"/>
        </w:numPr>
        <w:spacing w:line="360" w:lineRule="auto"/>
        <w:ind w:left="1434" w:hanging="357"/>
        <w:rPr>
          <w:sz w:val="24"/>
          <w:szCs w:val="24"/>
        </w:rPr>
      </w:pPr>
      <w:r>
        <w:rPr>
          <w:rFonts w:hint="eastAsia"/>
          <w:sz w:val="24"/>
          <w:szCs w:val="24"/>
        </w:rPr>
        <w:t>技术支持联系电话：0</w:t>
      </w:r>
      <w:r>
        <w:rPr>
          <w:sz w:val="24"/>
          <w:szCs w:val="24"/>
        </w:rPr>
        <w:t>871-65379183</w:t>
      </w:r>
      <w:r>
        <w:rPr>
          <w:rFonts w:hint="eastAsia"/>
          <w:sz w:val="24"/>
          <w:szCs w:val="24"/>
        </w:rPr>
        <w:t>、0</w:t>
      </w:r>
      <w:r>
        <w:rPr>
          <w:sz w:val="24"/>
          <w:szCs w:val="24"/>
        </w:rPr>
        <w:t>871-65165512</w:t>
      </w:r>
    </w:p>
    <w:p>
      <w:pPr>
        <w:pStyle w:val="17"/>
        <w:numPr>
          <w:ilvl w:val="0"/>
          <w:numId w:val="3"/>
        </w:numPr>
        <w:spacing w:line="360" w:lineRule="auto"/>
        <w:ind w:left="1434" w:hanging="357"/>
        <w:rPr>
          <w:color w:val="FF0000"/>
          <w:sz w:val="24"/>
          <w:szCs w:val="24"/>
        </w:rPr>
      </w:pPr>
      <w:r>
        <w:rPr>
          <w:rFonts w:hint="eastAsia"/>
          <w:color w:val="FF0000"/>
          <w:sz w:val="24"/>
          <w:szCs w:val="24"/>
        </w:rPr>
        <w:t>3</w:t>
      </w:r>
      <w:r>
        <w:rPr>
          <w:color w:val="FF0000"/>
          <w:sz w:val="24"/>
          <w:szCs w:val="24"/>
        </w:rPr>
        <w:t>60</w:t>
      </w:r>
      <w:r>
        <w:rPr>
          <w:rFonts w:hint="eastAsia"/>
          <w:color w:val="FF0000"/>
          <w:sz w:val="24"/>
          <w:szCs w:val="24"/>
        </w:rPr>
        <w:t>安全浏览器用户请调整为极速模式，如下图：</w:t>
      </w:r>
    </w:p>
    <w:p>
      <w:pPr>
        <w:pStyle w:val="17"/>
        <w:ind w:left="1440" w:firstLine="0"/>
        <w:rPr>
          <w:sz w:val="24"/>
          <w:szCs w:val="24"/>
        </w:rPr>
      </w:pPr>
    </w:p>
    <w:p>
      <w:pPr>
        <w:rPr>
          <w:sz w:val="24"/>
          <w:szCs w:val="24"/>
        </w:rPr>
      </w:pPr>
      <w:r>
        <w:rPr>
          <w:lang w:val="en-US" w:bidi="ar-SA"/>
        </w:rPr>
        <w:drawing>
          <wp:inline distT="0" distB="0" distL="114300" distR="114300">
            <wp:extent cx="5495925" cy="1431290"/>
            <wp:effectExtent l="0" t="0" r="9525"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95925" cy="1431290"/>
                    </a:xfrm>
                    <a:prstGeom prst="rect">
                      <a:avLst/>
                    </a:prstGeom>
                    <a:noFill/>
                    <a:ln>
                      <a:noFill/>
                    </a:ln>
                  </pic:spPr>
                </pic:pic>
              </a:graphicData>
            </a:graphic>
          </wp:inline>
        </w:drawing>
      </w:r>
    </w:p>
    <w:p>
      <w:pPr>
        <w:jc w:val="center"/>
        <w:rPr>
          <w:rFonts w:ascii="黑体" w:eastAsia="黑体"/>
          <w:sz w:val="21"/>
          <w:szCs w:val="21"/>
        </w:rPr>
        <w:sectPr>
          <w:headerReference r:id="rId5" w:type="default"/>
          <w:footerReference r:id="rId6" w:type="default"/>
          <w:pgSz w:w="11910" w:h="16840"/>
          <w:pgMar w:top="1420" w:right="1560" w:bottom="1380" w:left="1680" w:header="852" w:footer="1196" w:gutter="0"/>
          <w:pgNumType w:start="1"/>
          <w:cols w:space="720" w:num="1"/>
        </w:sectPr>
      </w:pPr>
    </w:p>
    <w:p>
      <w:pPr>
        <w:pStyle w:val="6"/>
        <w:rPr>
          <w:rFonts w:ascii="黑体"/>
          <w:sz w:val="20"/>
        </w:rPr>
      </w:pPr>
    </w:p>
    <w:p>
      <w:pPr>
        <w:pStyle w:val="6"/>
        <w:rPr>
          <w:rFonts w:ascii="黑体"/>
          <w:sz w:val="20"/>
        </w:rPr>
      </w:pPr>
    </w:p>
    <w:p>
      <w:pPr>
        <w:pStyle w:val="2"/>
        <w:numPr>
          <w:ilvl w:val="0"/>
          <w:numId w:val="1"/>
        </w:numPr>
        <w:tabs>
          <w:tab w:val="left" w:pos="545"/>
        </w:tabs>
        <w:spacing w:before="204"/>
      </w:pPr>
      <w:bookmarkStart w:id="3" w:name="2.注册"/>
      <w:bookmarkEnd w:id="3"/>
      <w:bookmarkStart w:id="4" w:name="_Toc78024046"/>
      <w:r>
        <w:rPr>
          <w:rFonts w:hint="eastAsia"/>
        </w:rPr>
        <w:t>系统介绍</w:t>
      </w:r>
      <w:bookmarkEnd w:id="4"/>
    </w:p>
    <w:p>
      <w:pPr>
        <w:pStyle w:val="3"/>
        <w:tabs>
          <w:tab w:val="left" w:pos="687"/>
        </w:tabs>
        <w:ind w:left="0" w:firstLine="0"/>
      </w:pPr>
      <w:bookmarkStart w:id="5" w:name="2.1.注册"/>
      <w:bookmarkEnd w:id="5"/>
    </w:p>
    <w:p>
      <w:pPr>
        <w:pStyle w:val="17"/>
        <w:numPr>
          <w:ilvl w:val="2"/>
          <w:numId w:val="1"/>
        </w:numPr>
        <w:tabs>
          <w:tab w:val="left" w:pos="959"/>
          <w:tab w:val="left" w:pos="960"/>
        </w:tabs>
        <w:spacing w:before="1" w:line="360" w:lineRule="auto"/>
        <w:rPr>
          <w:rFonts w:ascii="Wingdings" w:hAnsi="Wingdings" w:eastAsia="Wingdings"/>
          <w:sz w:val="24"/>
        </w:rPr>
      </w:pPr>
      <w:r>
        <w:rPr>
          <w:rFonts w:hint="eastAsia"/>
          <w:spacing w:val="-15"/>
          <w:sz w:val="24"/>
        </w:rPr>
        <w:t>耗材阳光采购为云南省医用耗材集中采购系统V3.5</w:t>
      </w:r>
      <w:r>
        <w:rPr>
          <w:rFonts w:hint="eastAsia"/>
          <w:spacing w:val="-15"/>
          <w:sz w:val="24"/>
          <w:lang w:val="en-US"/>
        </w:rPr>
        <w:t>民营</w:t>
      </w:r>
      <w:r>
        <w:rPr>
          <w:rFonts w:hint="eastAsia"/>
          <w:spacing w:val="-15"/>
          <w:sz w:val="24"/>
        </w:rPr>
        <w:t>子系统，系统内阳光采购目录产品均为高值耗材议价产品，</w:t>
      </w:r>
      <w:r>
        <w:rPr>
          <w:rFonts w:hint="eastAsia"/>
          <w:spacing w:val="-15"/>
          <w:sz w:val="24"/>
          <w:lang w:val="en-US"/>
        </w:rPr>
        <w:t>民营</w:t>
      </w:r>
      <w:r>
        <w:rPr>
          <w:rFonts w:hint="eastAsia"/>
          <w:spacing w:val="-15"/>
          <w:sz w:val="24"/>
        </w:rPr>
        <w:t>医疗机构在首次采购前需要同该产品生产厂家议价，价格议定后，</w:t>
      </w:r>
      <w:r>
        <w:rPr>
          <w:rFonts w:hint="eastAsia"/>
          <w:spacing w:val="-15"/>
          <w:sz w:val="24"/>
          <w:lang w:val="en-US"/>
        </w:rPr>
        <w:t>民营</w:t>
      </w:r>
      <w:r>
        <w:rPr>
          <w:rFonts w:hint="eastAsia"/>
          <w:spacing w:val="-15"/>
          <w:sz w:val="24"/>
        </w:rPr>
        <w:t>医疗机构可根据议定价格采购；</w:t>
      </w:r>
      <w:r>
        <w:rPr>
          <w:rFonts w:hint="eastAsia"/>
          <w:spacing w:val="-15"/>
          <w:sz w:val="24"/>
          <w:lang w:val="en-US"/>
        </w:rPr>
        <w:t>民营</w:t>
      </w:r>
      <w:r>
        <w:rPr>
          <w:rFonts w:hint="eastAsia"/>
          <w:spacing w:val="-15"/>
          <w:sz w:val="24"/>
        </w:rPr>
        <w:t>医疗机构也可以选择再次议价。该系统主要为用户提供查看阳光采购目录、产品议价、设置配送企业、发送订单、收货确认等功能，以下几点为该系统重点操作事项：</w:t>
      </w:r>
    </w:p>
    <w:p>
      <w:pPr>
        <w:pStyle w:val="17"/>
        <w:numPr>
          <w:ilvl w:val="0"/>
          <w:numId w:val="4"/>
        </w:numPr>
        <w:tabs>
          <w:tab w:val="left" w:pos="959"/>
          <w:tab w:val="left" w:pos="960"/>
        </w:tabs>
        <w:spacing w:before="1" w:line="360" w:lineRule="auto"/>
        <w:rPr>
          <w:spacing w:val="-15"/>
          <w:sz w:val="24"/>
        </w:rPr>
      </w:pPr>
      <w:r>
        <w:rPr>
          <w:rFonts w:hint="eastAsia"/>
          <w:spacing w:val="-15"/>
          <w:sz w:val="24"/>
        </w:rPr>
        <w:t>勾选目录管理</w:t>
      </w:r>
    </w:p>
    <w:p>
      <w:pPr>
        <w:pStyle w:val="17"/>
        <w:tabs>
          <w:tab w:val="left" w:pos="959"/>
          <w:tab w:val="left" w:pos="960"/>
        </w:tabs>
        <w:spacing w:before="1" w:line="360" w:lineRule="auto"/>
        <w:ind w:left="1416" w:firstLine="0"/>
        <w:rPr>
          <w:spacing w:val="-15"/>
          <w:sz w:val="24"/>
        </w:rPr>
      </w:pPr>
      <w:r>
        <w:rPr>
          <w:rFonts w:hint="eastAsia"/>
          <w:spacing w:val="-15"/>
          <w:sz w:val="24"/>
          <w:lang w:val="en-US"/>
        </w:rPr>
        <w:t>民营</w:t>
      </w:r>
      <w:r>
        <w:rPr>
          <w:rFonts w:hint="eastAsia"/>
          <w:spacing w:val="-15"/>
          <w:sz w:val="24"/>
        </w:rPr>
        <w:t>医疗机构在采购高值耗材阳光目录前，需要确认产品是否在商品列表中且状态为启用。</w:t>
      </w:r>
      <w:r>
        <w:rPr>
          <w:rFonts w:hint="eastAsia"/>
          <w:spacing w:val="-15"/>
          <w:sz w:val="24"/>
          <w:lang w:val="en-US"/>
        </w:rPr>
        <w:t>民营</w:t>
      </w:r>
      <w:r>
        <w:rPr>
          <w:rFonts w:hint="eastAsia"/>
          <w:spacing w:val="-15"/>
          <w:sz w:val="24"/>
        </w:rPr>
        <w:t>医疗机构可通过勾选目录管理功能将商品列表添加至议价列表。</w:t>
      </w:r>
    </w:p>
    <w:p>
      <w:pPr>
        <w:tabs>
          <w:tab w:val="left" w:pos="959"/>
          <w:tab w:val="left" w:pos="960"/>
        </w:tabs>
        <w:spacing w:before="1" w:line="360" w:lineRule="auto"/>
        <w:rPr>
          <w:rFonts w:asciiTheme="minorEastAsia" w:hAnsiTheme="minorEastAsia" w:eastAsiaTheme="minorEastAsia"/>
          <w:sz w:val="24"/>
        </w:rPr>
      </w:pPr>
      <w:r>
        <w:rPr>
          <w:rFonts w:asciiTheme="minorEastAsia" w:hAnsiTheme="minorEastAsia" w:eastAsiaTheme="minorEastAsia"/>
          <w:sz w:val="24"/>
        </w:rPr>
        <w:tab/>
      </w:r>
      <w:r>
        <w:rPr>
          <w:rFonts w:hint="eastAsia" w:asciiTheme="minorEastAsia" w:hAnsiTheme="minorEastAsia" w:eastAsiaTheme="minorEastAsia"/>
          <w:sz w:val="24"/>
        </w:rPr>
        <w:t>二、产品议价管理</w:t>
      </w:r>
    </w:p>
    <w:p>
      <w:pPr>
        <w:pStyle w:val="17"/>
        <w:tabs>
          <w:tab w:val="left" w:pos="959"/>
          <w:tab w:val="left" w:pos="960"/>
        </w:tabs>
        <w:spacing w:before="1" w:line="360" w:lineRule="auto"/>
        <w:ind w:left="1416" w:firstLine="0"/>
        <w:rPr>
          <w:spacing w:val="-15"/>
          <w:sz w:val="24"/>
        </w:rPr>
      </w:pPr>
      <w:r>
        <w:rPr>
          <w:rFonts w:hint="eastAsia"/>
          <w:spacing w:val="-15"/>
          <w:sz w:val="24"/>
          <w:lang w:val="en-US"/>
        </w:rPr>
        <w:t>民营</w:t>
      </w:r>
      <w:r>
        <w:rPr>
          <w:rFonts w:hint="eastAsia"/>
          <w:spacing w:val="-15"/>
          <w:sz w:val="24"/>
        </w:rPr>
        <w:t>医疗机构在首次采购产品前需要同厂家议价，价格议定成功后，</w:t>
      </w:r>
      <w:r>
        <w:rPr>
          <w:rFonts w:hint="eastAsia"/>
          <w:spacing w:val="-15"/>
          <w:sz w:val="24"/>
          <w:lang w:val="en-US"/>
        </w:rPr>
        <w:t>民营</w:t>
      </w:r>
      <w:r>
        <w:rPr>
          <w:rFonts w:hint="eastAsia"/>
          <w:spacing w:val="-15"/>
          <w:sz w:val="24"/>
        </w:rPr>
        <w:t>医疗机构可按议定价格采购，也可以选择再次与厂家议价。</w:t>
      </w:r>
      <w:r>
        <w:rPr>
          <w:rFonts w:hint="eastAsia"/>
          <w:spacing w:val="-15"/>
          <w:sz w:val="24"/>
          <w:lang w:val="en-US"/>
        </w:rPr>
        <w:t>民营</w:t>
      </w:r>
      <w:r>
        <w:rPr>
          <w:rFonts w:hint="eastAsia"/>
          <w:spacing w:val="-15"/>
          <w:sz w:val="24"/>
        </w:rPr>
        <w:t>医疗机构议价发起</w:t>
      </w:r>
      <w:r>
        <w:rPr>
          <w:spacing w:val="-15"/>
          <w:sz w:val="24"/>
        </w:rPr>
        <w:t>72</w:t>
      </w:r>
      <w:r>
        <w:rPr>
          <w:rFonts w:hint="eastAsia"/>
          <w:spacing w:val="-15"/>
          <w:sz w:val="24"/>
        </w:rPr>
        <w:t>小时后厂家仍未响应，则系统默认厂家拒绝此次议价。</w:t>
      </w:r>
    </w:p>
    <w:p>
      <w:pPr>
        <w:tabs>
          <w:tab w:val="left" w:pos="959"/>
          <w:tab w:val="left" w:pos="960"/>
        </w:tabs>
        <w:spacing w:before="1" w:line="360" w:lineRule="auto"/>
        <w:rPr>
          <w:spacing w:val="-15"/>
          <w:sz w:val="24"/>
        </w:rPr>
      </w:pPr>
      <w:r>
        <w:rPr>
          <w:spacing w:val="-15"/>
          <w:sz w:val="24"/>
        </w:rPr>
        <w:tab/>
      </w:r>
      <w:r>
        <w:rPr>
          <w:rFonts w:hint="eastAsia"/>
          <w:spacing w:val="-15"/>
          <w:sz w:val="24"/>
        </w:rPr>
        <w:t>三、常用目录管理</w:t>
      </w:r>
    </w:p>
    <w:p>
      <w:pPr>
        <w:pStyle w:val="17"/>
        <w:tabs>
          <w:tab w:val="left" w:pos="959"/>
          <w:tab w:val="left" w:pos="960"/>
        </w:tabs>
        <w:spacing w:before="1" w:line="360" w:lineRule="auto"/>
        <w:ind w:left="1440" w:firstLine="0"/>
        <w:rPr>
          <w:spacing w:val="-15"/>
          <w:sz w:val="24"/>
        </w:rPr>
      </w:pPr>
      <w:r>
        <w:rPr>
          <w:rFonts w:hint="eastAsia"/>
          <w:spacing w:val="-15"/>
          <w:sz w:val="24"/>
          <w:lang w:val="en-US"/>
        </w:rPr>
        <w:t>民营</w:t>
      </w:r>
      <w:r>
        <w:rPr>
          <w:rFonts w:hint="eastAsia"/>
          <w:spacing w:val="-15"/>
          <w:sz w:val="24"/>
        </w:rPr>
        <w:t>医疗机构在新建订单时选择的是已被加入常用目录中且配送企业和采购价格均不为空的产品。</w:t>
      </w:r>
      <w:r>
        <w:rPr>
          <w:rFonts w:hint="eastAsia"/>
          <w:spacing w:val="-15"/>
          <w:sz w:val="24"/>
          <w:lang w:val="en-US"/>
        </w:rPr>
        <w:t>民营</w:t>
      </w:r>
      <w:r>
        <w:rPr>
          <w:rFonts w:hint="eastAsia"/>
          <w:spacing w:val="-15"/>
          <w:sz w:val="24"/>
        </w:rPr>
        <w:t>医疗机构在选择配送企业时，如果选不到则说明厂家没有设置，需联系厂家设置。如果常用目录中的产品价格为空，则说明该产品尚未议价成功。</w:t>
      </w: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1440" w:firstLine="0"/>
        <w:rPr>
          <w:spacing w:val="-15"/>
          <w:sz w:val="24"/>
        </w:rPr>
      </w:pPr>
    </w:p>
    <w:p>
      <w:pPr>
        <w:pStyle w:val="17"/>
        <w:tabs>
          <w:tab w:val="left" w:pos="959"/>
          <w:tab w:val="left" w:pos="960"/>
        </w:tabs>
        <w:spacing w:before="1" w:line="360" w:lineRule="auto"/>
        <w:ind w:left="0" w:firstLine="0"/>
        <w:rPr>
          <w:spacing w:val="-15"/>
          <w:sz w:val="24"/>
        </w:rPr>
      </w:pPr>
    </w:p>
    <w:p>
      <w:pPr>
        <w:pStyle w:val="17"/>
        <w:tabs>
          <w:tab w:val="left" w:pos="959"/>
          <w:tab w:val="left" w:pos="960"/>
        </w:tabs>
        <w:spacing w:before="1" w:line="360" w:lineRule="auto"/>
        <w:ind w:left="600" w:firstLine="0"/>
        <w:rPr>
          <w:spacing w:val="-15"/>
          <w:sz w:val="24"/>
          <w:lang w:val="en-US"/>
        </w:rPr>
      </w:pPr>
      <w:r>
        <w:rPr>
          <w:rFonts w:hint="eastAsia"/>
          <w:spacing w:val="-15"/>
          <w:sz w:val="24"/>
          <w:lang w:val="en-US"/>
        </w:rPr>
        <w:t xml:space="preserve">   四、系统操作流程图：</w:t>
      </w:r>
    </w:p>
    <w:p>
      <w:pPr>
        <w:pStyle w:val="17"/>
        <w:tabs>
          <w:tab w:val="left" w:pos="959"/>
          <w:tab w:val="left" w:pos="960"/>
        </w:tabs>
        <w:spacing w:before="1" w:line="360" w:lineRule="auto"/>
        <w:ind w:left="0" w:firstLine="0"/>
        <w:rPr>
          <w:spacing w:val="-15"/>
          <w:sz w:val="24"/>
          <w:lang w:val="en-US"/>
        </w:rPr>
      </w:pPr>
      <w:r>
        <w:rPr>
          <w:spacing w:val="-15"/>
          <w:sz w:val="24"/>
          <w:lang w:val="en-US" w:bidi="ar-SA"/>
        </w:rPr>
        <w:drawing>
          <wp:inline distT="0" distB="0" distL="114300" distR="114300">
            <wp:extent cx="6073775" cy="5525135"/>
            <wp:effectExtent l="0" t="0" r="3175" b="18415"/>
            <wp:docPr id="21" name="图片 21"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111"/>
                    <pic:cNvPicPr>
                      <a:picLocks noChangeAspect="1"/>
                    </pic:cNvPicPr>
                  </pic:nvPicPr>
                  <pic:blipFill>
                    <a:blip r:embed="rId9"/>
                    <a:stretch>
                      <a:fillRect/>
                    </a:stretch>
                  </pic:blipFill>
                  <pic:spPr>
                    <a:xfrm>
                      <a:off x="0" y="0"/>
                      <a:ext cx="6073775" cy="5525135"/>
                    </a:xfrm>
                    <a:prstGeom prst="rect">
                      <a:avLst/>
                    </a:prstGeom>
                  </pic:spPr>
                </pic:pic>
              </a:graphicData>
            </a:graphic>
          </wp:inline>
        </w:drawing>
      </w:r>
    </w:p>
    <w:p>
      <w:pPr>
        <w:rPr>
          <w:rFonts w:ascii="Wingdings" w:hAnsi="Wingdings" w:eastAsia="Wingdings"/>
          <w:sz w:val="24"/>
        </w:rPr>
      </w:pPr>
      <w:r>
        <w:rPr>
          <w:rFonts w:ascii="Wingdings" w:hAnsi="Wingdings" w:eastAsia="Wingdings"/>
          <w:sz w:val="24"/>
        </w:rPr>
        <w:br w:type="page"/>
      </w:r>
    </w:p>
    <w:p>
      <w:pPr>
        <w:tabs>
          <w:tab w:val="left" w:pos="959"/>
          <w:tab w:val="left" w:pos="960"/>
        </w:tabs>
        <w:spacing w:before="1"/>
        <w:rPr>
          <w:rFonts w:ascii="Wingdings" w:hAnsi="Wingdings" w:eastAsia="Wingdings"/>
          <w:sz w:val="24"/>
        </w:rPr>
      </w:pPr>
    </w:p>
    <w:p>
      <w:pPr>
        <w:pStyle w:val="2"/>
        <w:numPr>
          <w:ilvl w:val="0"/>
          <w:numId w:val="1"/>
        </w:numPr>
        <w:tabs>
          <w:tab w:val="left" w:pos="545"/>
        </w:tabs>
        <w:spacing w:before="204"/>
      </w:pPr>
      <w:bookmarkStart w:id="6" w:name="_Toc78024047"/>
      <w:r>
        <w:rPr>
          <w:rFonts w:hint="eastAsia"/>
        </w:rPr>
        <w:t>操作流程</w:t>
      </w:r>
      <w:bookmarkEnd w:id="6"/>
    </w:p>
    <w:p>
      <w:pPr>
        <w:tabs>
          <w:tab w:val="left" w:pos="959"/>
          <w:tab w:val="left" w:pos="960"/>
        </w:tabs>
        <w:spacing w:before="52" w:line="280" w:lineRule="auto"/>
        <w:ind w:right="237"/>
        <w:rPr>
          <w:rFonts w:ascii="Wingdings" w:hAnsi="Wingdings" w:eastAsia="Wingdings"/>
          <w:sz w:val="24"/>
        </w:rPr>
      </w:pPr>
    </w:p>
    <w:p>
      <w:pPr>
        <w:pStyle w:val="3"/>
        <w:numPr>
          <w:ilvl w:val="1"/>
          <w:numId w:val="1"/>
        </w:numPr>
        <w:tabs>
          <w:tab w:val="left" w:pos="687"/>
        </w:tabs>
      </w:pPr>
      <w:bookmarkStart w:id="7" w:name="_Toc78024048"/>
      <w:r>
        <w:rPr>
          <w:rFonts w:hint="eastAsia"/>
        </w:rPr>
        <w:t>登录</w:t>
      </w:r>
      <w:bookmarkEnd w:id="7"/>
    </w:p>
    <w:p>
      <w:pPr>
        <w:ind w:left="686"/>
      </w:pPr>
    </w:p>
    <w:p>
      <w:pPr>
        <w:ind w:firstLine="540"/>
        <w:rPr>
          <w:sz w:val="24"/>
          <w:szCs w:val="24"/>
        </w:rPr>
      </w:pPr>
      <w:r>
        <w:rPr>
          <w:rFonts w:hint="eastAsia"/>
          <w:sz w:val="24"/>
          <w:szCs w:val="24"/>
        </w:rPr>
        <w:t>登录页面：</w:t>
      </w:r>
    </w:p>
    <w:p>
      <w:pPr>
        <w:rPr>
          <w:sz w:val="24"/>
          <w:szCs w:val="24"/>
        </w:rPr>
      </w:pPr>
      <w:r>
        <w:rPr>
          <w:sz w:val="24"/>
          <w:szCs w:val="24"/>
          <w:lang w:val="en-US" w:bidi="ar-SA"/>
        </w:rPr>
        <w:drawing>
          <wp:inline distT="0" distB="0" distL="0" distR="0">
            <wp:extent cx="5937250" cy="2905125"/>
            <wp:effectExtent l="0" t="0" r="6350" b="0"/>
            <wp:docPr id="1" name="图片 1" descr="C:\Users\ELIAN-~1\AppData\Local\Temp\WeChat Files\35ab2ccd199158981fb8eb556fb52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ELIAN-~1\AppData\Local\Temp\WeChat Files\35ab2ccd199158981fb8eb556fb525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9921" cy="2911045"/>
                    </a:xfrm>
                    <a:prstGeom prst="rect">
                      <a:avLst/>
                    </a:prstGeom>
                    <a:noFill/>
                    <a:ln>
                      <a:noFill/>
                    </a:ln>
                  </pic:spPr>
                </pic:pic>
              </a:graphicData>
            </a:graphic>
          </wp:inline>
        </w:drawing>
      </w:r>
    </w:p>
    <w:p>
      <w:pPr>
        <w:ind w:left="120" w:firstLine="480"/>
        <w:rPr>
          <w:spacing w:val="-4"/>
          <w:sz w:val="24"/>
        </w:rPr>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spacing w:val="-4"/>
          <w:sz w:val="24"/>
          <w:szCs w:val="24"/>
          <w:lang w:val="en-US"/>
        </w:rPr>
        <w:t>民营</w:t>
      </w:r>
      <w:r>
        <w:rPr>
          <w:rFonts w:hint="eastAsia"/>
          <w:spacing w:val="-4"/>
          <w:sz w:val="24"/>
          <w:szCs w:val="24"/>
        </w:rPr>
        <w:t>医疗机构</w:t>
      </w:r>
      <w:r>
        <w:rPr>
          <w:spacing w:val="-4"/>
          <w:sz w:val="24"/>
          <w:szCs w:val="24"/>
        </w:rPr>
        <w:t>用户可在浏览器地址栏输</w:t>
      </w:r>
      <w:r>
        <w:rPr>
          <w:rFonts w:hint="eastAsia"/>
          <w:spacing w:val="-4"/>
          <w:sz w:val="24"/>
          <w:szCs w:val="24"/>
        </w:rPr>
        <w:t>入</w:t>
      </w:r>
      <w:r>
        <w:fldChar w:fldCharType="begin"/>
      </w:r>
      <w:r>
        <w:instrText xml:space="preserve"> HYPERLINK "http://112.112.12.25:8001/com.hsnn.sso/login.html" </w:instrText>
      </w:r>
      <w:r>
        <w:fldChar w:fldCharType="separate"/>
      </w:r>
      <w:r>
        <w:rPr>
          <w:rStyle w:val="15"/>
          <w:sz w:val="24"/>
          <w:szCs w:val="24"/>
        </w:rPr>
        <w:t>http://112.112.12.25:8001/com.hsnn.sso/login.html</w:t>
      </w:r>
      <w:r>
        <w:rPr>
          <w:rStyle w:val="15"/>
          <w:sz w:val="24"/>
          <w:szCs w:val="24"/>
        </w:rPr>
        <w:fldChar w:fldCharType="end"/>
      </w:r>
      <w:r>
        <w:rPr>
          <w:spacing w:val="-20"/>
          <w:sz w:val="24"/>
          <w:szCs w:val="24"/>
        </w:rPr>
        <w:t>，</w:t>
      </w:r>
      <w:r>
        <w:rPr>
          <w:spacing w:val="-11"/>
          <w:sz w:val="24"/>
          <w:szCs w:val="24"/>
        </w:rPr>
        <w:t>输入用户名及密码，点</w:t>
      </w:r>
      <w:r>
        <w:rPr>
          <w:sz w:val="24"/>
          <w:szCs w:val="24"/>
        </w:rPr>
        <w:t>击【</w:t>
      </w:r>
      <w:r>
        <w:rPr>
          <w:rFonts w:hint="eastAsia"/>
          <w:sz w:val="24"/>
          <w:szCs w:val="24"/>
        </w:rPr>
        <w:t>登录</w:t>
      </w:r>
      <w:r>
        <w:rPr>
          <w:sz w:val="24"/>
          <w:szCs w:val="24"/>
        </w:rPr>
        <w:t>】按钮登录。</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sz w:val="24"/>
          <w:szCs w:val="24"/>
        </w:rPr>
        <w:t>如果用户登录失败，请查看登录失败原因，一般有以下几种情况：</w:t>
      </w:r>
    </w:p>
    <w:p>
      <w:pPr>
        <w:pStyle w:val="17"/>
        <w:numPr>
          <w:ilvl w:val="0"/>
          <w:numId w:val="6"/>
        </w:numPr>
        <w:tabs>
          <w:tab w:val="left" w:pos="959"/>
          <w:tab w:val="left" w:pos="960"/>
        </w:tabs>
        <w:spacing w:before="1" w:line="360" w:lineRule="auto"/>
        <w:rPr>
          <w:sz w:val="24"/>
          <w:szCs w:val="24"/>
        </w:rPr>
      </w:pPr>
      <w:r>
        <w:rPr>
          <w:rFonts w:hint="eastAsia"/>
          <w:sz w:val="24"/>
          <w:szCs w:val="24"/>
        </w:rPr>
        <w:t>用户名不存在。用户需仔细检查输入的用户名，是否有空格等其它特殊字符，如检查无误仍提示用户名不存在，请按平台首页办事指南办理账号。</w:t>
      </w:r>
    </w:p>
    <w:p>
      <w:pPr>
        <w:pStyle w:val="17"/>
        <w:numPr>
          <w:ilvl w:val="0"/>
          <w:numId w:val="6"/>
        </w:numPr>
        <w:tabs>
          <w:tab w:val="left" w:pos="959"/>
          <w:tab w:val="left" w:pos="960"/>
        </w:tabs>
        <w:spacing w:before="1" w:line="360" w:lineRule="auto"/>
        <w:rPr>
          <w:sz w:val="24"/>
          <w:szCs w:val="24"/>
        </w:rPr>
      </w:pPr>
      <w:r>
        <w:rPr>
          <w:rFonts w:hint="eastAsia"/>
          <w:sz w:val="24"/>
          <w:szCs w:val="24"/>
        </w:rPr>
        <w:t>密码不正确。用户需仔细检查输入的密码，密码区分大小写，如检查无误仍提示密码不正确，请按平台首页办事指南办理密码重置。</w:t>
      </w:r>
    </w:p>
    <w:p>
      <w:pPr>
        <w:pStyle w:val="17"/>
        <w:numPr>
          <w:ilvl w:val="0"/>
          <w:numId w:val="6"/>
        </w:numPr>
        <w:tabs>
          <w:tab w:val="left" w:pos="959"/>
          <w:tab w:val="left" w:pos="960"/>
        </w:tabs>
        <w:spacing w:before="1" w:line="360" w:lineRule="auto"/>
        <w:rPr>
          <w:sz w:val="24"/>
          <w:szCs w:val="24"/>
        </w:rPr>
      </w:pPr>
      <w:r>
        <w:rPr>
          <w:rFonts w:hint="eastAsia"/>
          <w:sz w:val="24"/>
          <w:szCs w:val="24"/>
        </w:rPr>
        <w:t>验证码不正确。再次刷新验证码，填写正确的验证码。</w:t>
      </w:r>
    </w:p>
    <w:p>
      <w:pPr>
        <w:pStyle w:val="17"/>
        <w:numPr>
          <w:ilvl w:val="0"/>
          <w:numId w:val="6"/>
        </w:numPr>
        <w:tabs>
          <w:tab w:val="left" w:pos="959"/>
          <w:tab w:val="left" w:pos="960"/>
        </w:tabs>
        <w:spacing w:before="1" w:line="360" w:lineRule="auto"/>
        <w:rPr>
          <w:sz w:val="24"/>
          <w:szCs w:val="24"/>
        </w:rPr>
      </w:pPr>
      <w:r>
        <w:rPr>
          <w:rFonts w:hint="eastAsia"/>
          <w:sz w:val="24"/>
          <w:szCs w:val="24"/>
        </w:rPr>
        <w:t>账号已停用。该登录账号已被停用，如需启用，请按平台首页办事指南申请启用。</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sz w:val="24"/>
          <w:szCs w:val="24"/>
        </w:rPr>
        <w:tab/>
      </w:r>
      <w:r>
        <w:rPr>
          <w:rFonts w:hint="eastAsia"/>
          <w:sz w:val="24"/>
          <w:szCs w:val="24"/>
        </w:rPr>
        <w:t>登录成功，进入系统主页面，如下图：</w:t>
      </w:r>
    </w:p>
    <w:p>
      <w:pPr>
        <w:pStyle w:val="17"/>
        <w:tabs>
          <w:tab w:val="left" w:pos="959"/>
          <w:tab w:val="left" w:pos="960"/>
        </w:tabs>
        <w:spacing w:before="1" w:line="360" w:lineRule="auto"/>
        <w:ind w:left="959" w:firstLine="0"/>
        <w:rPr>
          <w:sz w:val="24"/>
          <w:szCs w:val="24"/>
        </w:rPr>
      </w:pPr>
      <w:r>
        <w:rPr>
          <w:rFonts w:hint="eastAsia"/>
          <w:sz w:val="24"/>
          <w:szCs w:val="24"/>
        </w:rPr>
        <w:t>系统主页面：</w:t>
      </w:r>
    </w:p>
    <w:p>
      <w:pPr>
        <w:tabs>
          <w:tab w:val="left" w:pos="959"/>
          <w:tab w:val="left" w:pos="960"/>
        </w:tabs>
        <w:spacing w:before="1" w:line="360" w:lineRule="auto"/>
        <w:rPr>
          <w:sz w:val="24"/>
          <w:szCs w:val="24"/>
        </w:rPr>
      </w:pPr>
    </w:p>
    <w:p>
      <w:pPr>
        <w:tabs>
          <w:tab w:val="left" w:pos="959"/>
          <w:tab w:val="left" w:pos="960"/>
        </w:tabs>
        <w:spacing w:before="1" w:line="360" w:lineRule="auto"/>
      </w:pPr>
      <w:r>
        <w:rPr>
          <w:lang w:val="en-US" w:bidi="ar-SA"/>
        </w:rPr>
        <w:drawing>
          <wp:inline distT="0" distB="0" distL="0" distR="0">
            <wp:extent cx="5505450" cy="2469515"/>
            <wp:effectExtent l="0" t="0" r="0" b="6985"/>
            <wp:docPr id="3" name="图片 3" descr="C:\Users\ELIAN-~1\AppData\Local\Temp\WeChat Files\409f7183e697e65484bdb97b7b0c7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ELIAN-~1\AppData\Local\Temp\WeChat Files\409f7183e697e65484bdb97b7b0c78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05450" cy="2469735"/>
                    </a:xfrm>
                    <a:prstGeom prst="rect">
                      <a:avLst/>
                    </a:prstGeom>
                    <a:noFill/>
                    <a:ln>
                      <a:noFill/>
                    </a:ln>
                  </pic:spPr>
                </pic:pic>
              </a:graphicData>
            </a:graphic>
          </wp:inline>
        </w:drawing>
      </w:r>
    </w:p>
    <w:p>
      <w:pPr>
        <w:tabs>
          <w:tab w:val="left" w:pos="959"/>
          <w:tab w:val="left" w:pos="960"/>
        </w:tabs>
        <w:spacing w:before="1" w:line="360" w:lineRule="auto"/>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点击【耗材阳光采购】进入耗材阳光采购</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子系统，如下图：</w:t>
      </w:r>
    </w:p>
    <w:p>
      <w:pPr>
        <w:spacing w:before="1" w:line="360" w:lineRule="auto"/>
        <w:rPr>
          <w:sz w:val="24"/>
          <w:szCs w:val="24"/>
        </w:rPr>
      </w:pPr>
      <w:r>
        <w:rPr>
          <w:lang w:val="en-US" w:bidi="ar-SA"/>
        </w:rPr>
        <w:drawing>
          <wp:inline distT="0" distB="0" distL="0" distR="0">
            <wp:extent cx="6096635" cy="2209800"/>
            <wp:effectExtent l="0" t="0" r="0" b="0"/>
            <wp:docPr id="4" name="图片 4" descr="C:\Users\ELIAN-~1\AppData\Local\Temp\WeChat Files\b1f15f642cbcdd03ca8e699f17c66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ELIAN-~1\AppData\Local\Temp\WeChat Files\b1f15f642cbcdd03ca8e699f17c66e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4980" cy="2220074"/>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点击【操作帮助】按钮，下载相关操作手册、用户操作常见问题，查看联系方式等。</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点击【主页】按钮，进入主页入口页面，可选择进入其它子系统。</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点击【退出】按钮，退出登录，返回登录页面。</w:t>
      </w:r>
    </w:p>
    <w:p>
      <w:pPr>
        <w:rPr>
          <w:rFonts w:ascii="Wingdings" w:hAnsi="Wingdings" w:eastAsia="Wingdings"/>
          <w:sz w:val="24"/>
          <w:szCs w:val="24"/>
        </w:rPr>
      </w:pPr>
      <w:r>
        <w:rPr>
          <w:rFonts w:asciiTheme="minorEastAsia" w:hAnsiTheme="minorEastAsia" w:eastAsiaTheme="minorEastAsia"/>
          <w:sz w:val="24"/>
          <w:szCs w:val="24"/>
        </w:rPr>
        <w:br w:type="page"/>
      </w:r>
    </w:p>
    <w:p>
      <w:pPr>
        <w:pStyle w:val="3"/>
        <w:numPr>
          <w:ilvl w:val="1"/>
          <w:numId w:val="1"/>
        </w:numPr>
        <w:tabs>
          <w:tab w:val="left" w:pos="687"/>
        </w:tabs>
      </w:pPr>
      <w:bookmarkStart w:id="8" w:name="_Toc78024049"/>
      <w:r>
        <w:rPr>
          <w:rFonts w:hint="eastAsia"/>
        </w:rPr>
        <w:t>商品管理</w:t>
      </w:r>
      <w:bookmarkEnd w:id="8"/>
    </w:p>
    <w:p>
      <w:pPr>
        <w:ind w:left="686"/>
      </w:pPr>
    </w:p>
    <w:p>
      <w:pPr>
        <w:spacing w:line="360" w:lineRule="auto"/>
        <w:ind w:firstLine="686"/>
        <w:rPr>
          <w:sz w:val="24"/>
          <w:szCs w:val="24"/>
        </w:rPr>
      </w:pPr>
      <w:r>
        <w:rPr>
          <w:rFonts w:hint="eastAsia"/>
          <w:sz w:val="24"/>
          <w:szCs w:val="24"/>
        </w:rPr>
        <w:t>一、商品列表</w:t>
      </w:r>
    </w:p>
    <w:p>
      <w:pPr>
        <w:spacing w:line="360" w:lineRule="auto"/>
        <w:ind w:firstLine="686"/>
        <w:rPr>
          <w:sz w:val="24"/>
          <w:szCs w:val="24"/>
        </w:rPr>
      </w:pPr>
      <w:r>
        <w:rPr>
          <w:rFonts w:hint="eastAsia"/>
          <w:sz w:val="24"/>
          <w:szCs w:val="24"/>
        </w:rPr>
        <w:t>商品列表页面：</w:t>
      </w:r>
    </w:p>
    <w:p>
      <w:pPr>
        <w:rPr>
          <w:sz w:val="24"/>
          <w:szCs w:val="24"/>
        </w:rPr>
      </w:pPr>
      <w:r>
        <w:rPr>
          <w:lang w:val="en-US" w:bidi="ar-SA"/>
        </w:rPr>
        <w:drawing>
          <wp:inline distT="0" distB="0" distL="114300" distR="114300">
            <wp:extent cx="5831840" cy="2741930"/>
            <wp:effectExtent l="0" t="0" r="16510" b="127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3"/>
                    <a:stretch>
                      <a:fillRect/>
                    </a:stretch>
                  </pic:blipFill>
                  <pic:spPr>
                    <a:xfrm>
                      <a:off x="0" y="0"/>
                      <a:ext cx="5831840" cy="2741930"/>
                    </a:xfrm>
                    <a:prstGeom prst="rect">
                      <a:avLst/>
                    </a:prstGeom>
                    <a:noFill/>
                    <a:ln>
                      <a:noFill/>
                    </a:ln>
                  </pic:spPr>
                </pic:pic>
              </a:graphicData>
            </a:graphic>
          </wp:inline>
        </w:drawing>
      </w:r>
    </w:p>
    <w:p>
      <w:pPr>
        <w:rPr>
          <w:sz w:val="24"/>
          <w:szCs w:val="24"/>
        </w:rPr>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该页面展示阳光耗材采购目录，包含在用和停用阳光耗材目录。用户可通过查询条件筛选。</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点击【导出】按钮可导出耗材阳光采购目录，点击【详情】按钮，查看阳光采购目录具体信息。注意：因阳光采购目录量大，导出时请耐心等待。</w:t>
      </w:r>
    </w:p>
    <w:p>
      <w:pPr>
        <w:pStyle w:val="3"/>
        <w:numPr>
          <w:ilvl w:val="1"/>
          <w:numId w:val="1"/>
        </w:numPr>
        <w:tabs>
          <w:tab w:val="left" w:pos="687"/>
        </w:tabs>
      </w:pPr>
      <w:bookmarkStart w:id="9" w:name="_Toc78024050"/>
      <w:r>
        <w:rPr>
          <w:rFonts w:hint="eastAsia"/>
        </w:rPr>
        <w:t>维护常用目录</w:t>
      </w:r>
      <w:bookmarkEnd w:id="9"/>
    </w:p>
    <w:p>
      <w:pPr>
        <w:ind w:left="686"/>
      </w:pPr>
    </w:p>
    <w:p>
      <w:pPr>
        <w:spacing w:line="360" w:lineRule="auto"/>
        <w:ind w:firstLine="686"/>
        <w:rPr>
          <w:sz w:val="24"/>
          <w:szCs w:val="24"/>
        </w:rPr>
      </w:pPr>
      <w:r>
        <w:rPr>
          <w:rFonts w:hint="eastAsia"/>
          <w:sz w:val="24"/>
          <w:szCs w:val="24"/>
        </w:rPr>
        <w:t>一、勾选目录管理</w:t>
      </w:r>
    </w:p>
    <w:p>
      <w:pPr>
        <w:spacing w:line="360" w:lineRule="auto"/>
        <w:ind w:firstLine="686"/>
        <w:rPr>
          <w:sz w:val="24"/>
          <w:szCs w:val="24"/>
        </w:rPr>
      </w:pPr>
      <w:r>
        <w:rPr>
          <w:rFonts w:hint="eastAsia"/>
          <w:sz w:val="24"/>
          <w:szCs w:val="24"/>
        </w:rPr>
        <w:t>勾选目录管理页面：</w:t>
      </w:r>
    </w:p>
    <w:p>
      <w:pPr>
        <w:spacing w:line="360" w:lineRule="auto"/>
        <w:rPr>
          <w:sz w:val="24"/>
          <w:szCs w:val="24"/>
        </w:rPr>
      </w:pPr>
      <w:r>
        <w:rPr>
          <w:lang w:val="en-US" w:bidi="ar-SA"/>
        </w:rPr>
        <w:drawing>
          <wp:inline distT="0" distB="0" distL="114300" distR="114300">
            <wp:extent cx="5615940" cy="2453005"/>
            <wp:effectExtent l="0" t="0" r="3810" b="4445"/>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4"/>
                    <a:stretch>
                      <a:fillRect/>
                    </a:stretch>
                  </pic:blipFill>
                  <pic:spPr>
                    <a:xfrm>
                      <a:off x="0" y="0"/>
                      <a:ext cx="5615940" cy="2453005"/>
                    </a:xfrm>
                    <a:prstGeom prst="rect">
                      <a:avLst/>
                    </a:prstGeom>
                    <a:noFill/>
                    <a:ln>
                      <a:noFill/>
                    </a:ln>
                  </pic:spPr>
                </pic:pic>
              </a:graphicData>
            </a:graphic>
          </wp:inline>
        </w:drawing>
      </w:r>
    </w:p>
    <w:p>
      <w:pPr>
        <w:spacing w:line="360" w:lineRule="auto"/>
        <w:rPr>
          <w:sz w:val="24"/>
          <w:szCs w:val="24"/>
        </w:rPr>
      </w:pPr>
    </w:p>
    <w:p>
      <w:pPr>
        <w:spacing w:line="360" w:lineRule="auto"/>
        <w:rPr>
          <w:sz w:val="24"/>
          <w:szCs w:val="24"/>
        </w:rPr>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列表页面展示未加入产品议价管理及常用目录管理的阳光耗材商品列表。</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勾选多选框，点击【保存】按钮并确定，将阳光耗材商品列表添加至产品议价管理中，</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医疗机构用户可在产品议价管理中和厂家议价。</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color w:val="FF0000"/>
          <w:sz w:val="24"/>
          <w:szCs w:val="24"/>
        </w:rPr>
        <w:t>注意：</w:t>
      </w:r>
      <w:r>
        <w:rPr>
          <w:rFonts w:hint="eastAsia" w:asciiTheme="minorEastAsia" w:hAnsiTheme="minorEastAsia" w:eastAsiaTheme="minorEastAsia"/>
          <w:color w:val="FF0000"/>
          <w:sz w:val="24"/>
          <w:szCs w:val="24"/>
          <w:lang w:val="en-US"/>
        </w:rPr>
        <w:t>民营</w:t>
      </w:r>
      <w:r>
        <w:rPr>
          <w:rFonts w:hint="eastAsia" w:asciiTheme="minorEastAsia" w:hAnsiTheme="minorEastAsia" w:eastAsiaTheme="minorEastAsia"/>
          <w:color w:val="FF0000"/>
          <w:sz w:val="24"/>
          <w:szCs w:val="24"/>
        </w:rPr>
        <w:t>医疗机构在采购某个产品前，需将该产品勾选至产品议价管理中。</w:t>
      </w:r>
      <w:r>
        <w:rPr>
          <w:rFonts w:ascii="Wingdings" w:hAnsi="Wingdings" w:eastAsia="Wingdings"/>
          <w:sz w:val="24"/>
          <w:szCs w:val="24"/>
        </w:rPr>
        <w:t></w:t>
      </w:r>
    </w:p>
    <w:p>
      <w:pPr>
        <w:spacing w:line="360" w:lineRule="auto"/>
        <w:ind w:firstLine="539"/>
        <w:rPr>
          <w:sz w:val="24"/>
          <w:szCs w:val="24"/>
        </w:rPr>
      </w:pPr>
      <w:r>
        <w:rPr>
          <w:rFonts w:hint="eastAsia"/>
          <w:sz w:val="24"/>
          <w:szCs w:val="24"/>
        </w:rPr>
        <w:t>二、产品议价管理</w:t>
      </w:r>
    </w:p>
    <w:p>
      <w:pPr>
        <w:spacing w:line="360" w:lineRule="auto"/>
        <w:ind w:firstLine="539"/>
        <w:rPr>
          <w:sz w:val="24"/>
          <w:szCs w:val="24"/>
        </w:rPr>
      </w:pPr>
      <w:r>
        <w:rPr>
          <w:rFonts w:hint="eastAsia"/>
          <w:sz w:val="24"/>
          <w:szCs w:val="24"/>
        </w:rPr>
        <w:t>产品议价管理页面：</w:t>
      </w:r>
    </w:p>
    <w:p>
      <w:pPr>
        <w:spacing w:line="360" w:lineRule="auto"/>
        <w:rPr>
          <w:sz w:val="24"/>
          <w:szCs w:val="24"/>
        </w:rPr>
      </w:pPr>
      <w:r>
        <w:rPr>
          <w:lang w:val="en-US" w:bidi="ar-SA"/>
        </w:rPr>
        <w:drawing>
          <wp:inline distT="0" distB="0" distL="114300" distR="114300">
            <wp:extent cx="5760085" cy="2579370"/>
            <wp:effectExtent l="0" t="0" r="12065" b="11430"/>
            <wp:docPr id="3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
                    <pic:cNvPicPr>
                      <a:picLocks noChangeAspect="1"/>
                    </pic:cNvPicPr>
                  </pic:nvPicPr>
                  <pic:blipFill>
                    <a:blip r:embed="rId15"/>
                    <a:stretch>
                      <a:fillRect/>
                    </a:stretch>
                  </pic:blipFill>
                  <pic:spPr>
                    <a:xfrm>
                      <a:off x="0" y="0"/>
                      <a:ext cx="5760085" cy="257937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页面展示已被勾选加入产品议价的阳光耗材目录。因为产品属于阳光采购，</w:t>
      </w:r>
    </w:p>
    <w:p>
      <w:p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所以</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医疗机构在首次采购前需要同厂家议价。</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填写议价价格、预计采购量，勾选多选框，点击【医院出价】按钮并确定，将该产品提交至厂家。</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议价价格为大于零的数字，预计采购量为正整数。议价价格可参考省内参考价、省外参考价及半年最低实际采购价填写。</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产品议价无具体次数限制，提交后</w:t>
      </w:r>
      <w:r>
        <w:rPr>
          <w:rFonts w:asciiTheme="minorEastAsia" w:hAnsiTheme="minorEastAsia" w:eastAsiaTheme="minorEastAsia"/>
          <w:color w:val="FF0000"/>
          <w:sz w:val="24"/>
          <w:szCs w:val="24"/>
        </w:rPr>
        <w:t>72</w:t>
      </w:r>
      <w:r>
        <w:rPr>
          <w:rFonts w:hint="eastAsia" w:asciiTheme="minorEastAsia" w:hAnsiTheme="minorEastAsia" w:eastAsiaTheme="minorEastAsia"/>
          <w:color w:val="FF0000"/>
          <w:sz w:val="24"/>
          <w:szCs w:val="24"/>
        </w:rPr>
        <w:t>小时厂家未响应则系统默认厂家拒绝此次议价，医院可重新发起议价。厂家同意后，该议价价格即为产品采购价，</w:t>
      </w:r>
      <w:r>
        <w:rPr>
          <w:rFonts w:hint="eastAsia" w:asciiTheme="minorEastAsia" w:hAnsiTheme="minorEastAsia" w:eastAsiaTheme="minorEastAsia"/>
          <w:color w:val="FF0000"/>
          <w:sz w:val="24"/>
          <w:szCs w:val="24"/>
          <w:lang w:val="en-US"/>
        </w:rPr>
        <w:t>民营</w:t>
      </w:r>
      <w:r>
        <w:rPr>
          <w:rFonts w:hint="eastAsia" w:asciiTheme="minorEastAsia" w:hAnsiTheme="minorEastAsia" w:eastAsiaTheme="minorEastAsia"/>
          <w:color w:val="FF0000"/>
          <w:sz w:val="24"/>
          <w:szCs w:val="24"/>
        </w:rPr>
        <w:t>医疗机构在后续采购是可按该价格直接采购。若厂家还价，</w:t>
      </w:r>
      <w:r>
        <w:rPr>
          <w:rFonts w:hint="eastAsia" w:asciiTheme="minorEastAsia" w:hAnsiTheme="minorEastAsia" w:eastAsiaTheme="minorEastAsia"/>
          <w:color w:val="FF0000"/>
          <w:sz w:val="24"/>
          <w:szCs w:val="24"/>
          <w:lang w:val="en-US"/>
        </w:rPr>
        <w:t>民营</w:t>
      </w:r>
      <w:r>
        <w:rPr>
          <w:rFonts w:hint="eastAsia" w:asciiTheme="minorEastAsia" w:hAnsiTheme="minorEastAsia" w:eastAsiaTheme="minorEastAsia"/>
          <w:color w:val="FF0000"/>
          <w:sz w:val="24"/>
          <w:szCs w:val="24"/>
        </w:rPr>
        <w:t>医疗机构可以同意厂家的还价，该还价价格即为产品采购价。价格议定成功后，该产品将进入常用目录管理，常用目录管理中的采购价即为议定成功的价格。</w:t>
      </w:r>
    </w:p>
    <w:p>
      <w:pPr>
        <w:tabs>
          <w:tab w:val="left" w:pos="959"/>
          <w:tab w:val="left" w:pos="960"/>
        </w:tabs>
        <w:spacing w:before="1" w:line="360" w:lineRule="auto"/>
        <w:rPr>
          <w:rFonts w:ascii="Wingdings" w:hAnsi="Wingdings" w:eastAsia="Wingdings"/>
          <w:sz w:val="24"/>
          <w:szCs w:val="24"/>
        </w:rPr>
      </w:pPr>
    </w:p>
    <w:p>
      <w:pPr>
        <w:spacing w:line="360" w:lineRule="auto"/>
        <w:ind w:firstLine="539"/>
        <w:rPr>
          <w:sz w:val="24"/>
          <w:szCs w:val="24"/>
        </w:rPr>
      </w:pPr>
      <w:r>
        <w:rPr>
          <w:rFonts w:hint="eastAsia"/>
          <w:sz w:val="24"/>
          <w:szCs w:val="24"/>
        </w:rPr>
        <w:t>三、常用目录管理</w:t>
      </w:r>
    </w:p>
    <w:p>
      <w:pPr>
        <w:spacing w:line="360" w:lineRule="auto"/>
        <w:ind w:firstLine="539"/>
        <w:rPr>
          <w:sz w:val="24"/>
          <w:szCs w:val="24"/>
        </w:rPr>
      </w:pPr>
      <w:r>
        <w:rPr>
          <w:rFonts w:hint="eastAsia"/>
          <w:sz w:val="24"/>
          <w:szCs w:val="24"/>
        </w:rPr>
        <w:t>常用目录管理页面：</w:t>
      </w:r>
    </w:p>
    <w:p>
      <w:pPr>
        <w:spacing w:line="360" w:lineRule="auto"/>
        <w:rPr>
          <w:sz w:val="24"/>
          <w:szCs w:val="24"/>
        </w:rPr>
      </w:pPr>
      <w:r>
        <w:rPr>
          <w:lang w:val="en-US" w:bidi="ar-SA"/>
        </w:rPr>
        <w:drawing>
          <wp:inline distT="0" distB="0" distL="114300" distR="114300">
            <wp:extent cx="5501005" cy="3063875"/>
            <wp:effectExtent l="0" t="0" r="4445" b="3175"/>
            <wp:docPr id="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pic:cNvPicPr>
                      <a:picLocks noChangeAspect="1"/>
                    </pic:cNvPicPr>
                  </pic:nvPicPr>
                  <pic:blipFill>
                    <a:blip r:embed="rId16"/>
                    <a:stretch>
                      <a:fillRect/>
                    </a:stretch>
                  </pic:blipFill>
                  <pic:spPr>
                    <a:xfrm>
                      <a:off x="0" y="0"/>
                      <a:ext cx="5501005" cy="3063875"/>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列表页面展示</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医疗机构常用采购目录。</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lang w:val="en-US"/>
        </w:rPr>
        <w:t>民营</w:t>
      </w:r>
      <w:r>
        <w:rPr>
          <w:rFonts w:hint="eastAsia" w:asciiTheme="minorEastAsia" w:hAnsiTheme="minorEastAsia" w:eastAsiaTheme="minorEastAsia"/>
          <w:color w:val="FF0000"/>
          <w:sz w:val="24"/>
          <w:szCs w:val="24"/>
        </w:rPr>
        <w:t>医疗机构新建订单采购某个产品的前提条件为：1、将该产品勾选至常用采购目录。2、为该产品设置配送企业。3、确认该产品采购价字段不为空。</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点击【设置配送】按钮，为该产品选择配送企业。注意：如果用户选不到配送企业，则说明厂家没有为该产品设置配送关系，请联系厂家设置。</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配送企业选择完成后，勾选多选框，点击【保存】按钮并确定，即可完成配送企业设置。</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勾选多选框，点击【删除】按钮，将该产品从常用目录管理中移除。</w:t>
      </w:r>
    </w:p>
    <w:p>
      <w:pPr>
        <w:spacing w:line="360" w:lineRule="auto"/>
        <w:ind w:firstLine="539"/>
        <w:rPr>
          <w:sz w:val="24"/>
          <w:szCs w:val="24"/>
        </w:rPr>
      </w:pPr>
    </w:p>
    <w:p>
      <w:pPr>
        <w:pStyle w:val="3"/>
        <w:numPr>
          <w:ilvl w:val="1"/>
          <w:numId w:val="1"/>
        </w:numPr>
        <w:tabs>
          <w:tab w:val="left" w:pos="687"/>
        </w:tabs>
      </w:pPr>
      <w:bookmarkStart w:id="10" w:name="_Toc78024051"/>
      <w:r>
        <w:rPr>
          <w:rFonts w:hint="eastAsia"/>
        </w:rPr>
        <w:t>订单管理</w:t>
      </w:r>
      <w:bookmarkEnd w:id="10"/>
    </w:p>
    <w:p>
      <w:pPr>
        <w:ind w:left="686"/>
      </w:pPr>
    </w:p>
    <w:p>
      <w:pPr>
        <w:spacing w:line="360" w:lineRule="auto"/>
        <w:ind w:firstLine="686"/>
        <w:rPr>
          <w:sz w:val="24"/>
          <w:szCs w:val="24"/>
        </w:rPr>
      </w:pPr>
      <w:r>
        <w:rPr>
          <w:rFonts w:hint="eastAsia"/>
          <w:sz w:val="24"/>
          <w:szCs w:val="24"/>
        </w:rPr>
        <w:t>一、新建订单</w:t>
      </w:r>
    </w:p>
    <w:p>
      <w:pPr>
        <w:spacing w:line="360" w:lineRule="auto"/>
        <w:ind w:firstLine="686"/>
        <w:rPr>
          <w:sz w:val="24"/>
          <w:szCs w:val="24"/>
        </w:rPr>
      </w:pPr>
      <w:r>
        <w:rPr>
          <w:rFonts w:hint="eastAsia"/>
          <w:sz w:val="24"/>
          <w:szCs w:val="24"/>
        </w:rPr>
        <w:t>新建订单页面：</w:t>
      </w:r>
    </w:p>
    <w:p>
      <w:pPr>
        <w:spacing w:line="360" w:lineRule="auto"/>
        <w:rPr>
          <w:sz w:val="24"/>
          <w:szCs w:val="24"/>
        </w:rPr>
      </w:pPr>
      <w:r>
        <w:rPr>
          <w:lang w:val="en-US" w:bidi="ar-SA"/>
        </w:rPr>
        <w:drawing>
          <wp:inline distT="0" distB="0" distL="114300" distR="114300">
            <wp:extent cx="5617210" cy="1670050"/>
            <wp:effectExtent l="0" t="0" r="2540" b="6350"/>
            <wp:docPr id="3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
                    <pic:cNvPicPr>
                      <a:picLocks noChangeAspect="1"/>
                    </pic:cNvPicPr>
                  </pic:nvPicPr>
                  <pic:blipFill>
                    <a:blip r:embed="rId17"/>
                    <a:stretch>
                      <a:fillRect/>
                    </a:stretch>
                  </pic:blipFill>
                  <pic:spPr>
                    <a:xfrm>
                      <a:off x="0" y="0"/>
                      <a:ext cx="5617210" cy="167005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医疗机构用户通过新建订单功能创建采购单，采购单提交后发送给配送企业。</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ascii="Wingdings" w:hAnsi="Wingdings" w:eastAsia="Wingdings"/>
          <w:sz w:val="24"/>
          <w:szCs w:val="24"/>
        </w:rPr>
        <w:tab/>
      </w:r>
      <w:r>
        <w:rPr>
          <w:rFonts w:hint="eastAsia" w:asciiTheme="minorEastAsia" w:hAnsiTheme="minorEastAsia" w:eastAsiaTheme="minorEastAsia"/>
          <w:sz w:val="24"/>
          <w:szCs w:val="24"/>
        </w:rPr>
        <w:t>订单名称系统自动生成。若为补单，请勾选是否补单选框，并选择原订单。</w:t>
      </w:r>
    </w:p>
    <w:p>
      <w:pPr>
        <w:tabs>
          <w:tab w:val="left" w:pos="959"/>
          <w:tab w:val="left" w:pos="960"/>
        </w:tabs>
        <w:spacing w:before="1" w:line="360" w:lineRule="auto"/>
        <w:rPr>
          <w:rFonts w:ascii="Wingdings" w:hAnsi="Wingdings" w:eastAsia="Wingdings"/>
          <w:sz w:val="24"/>
          <w:szCs w:val="24"/>
        </w:rPr>
      </w:pP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点击【下一步】按钮，页面跳转添加订单明细页面，如下图：</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076450"/>
            <wp:effectExtent l="0" t="0" r="12065" b="0"/>
            <wp:docPr id="3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
                    <pic:cNvPicPr>
                      <a:picLocks noChangeAspect="1"/>
                    </pic:cNvPicPr>
                  </pic:nvPicPr>
                  <pic:blipFill>
                    <a:blip r:embed="rId18"/>
                    <a:stretch>
                      <a:fillRect/>
                    </a:stretch>
                  </pic:blipFill>
                  <pic:spPr>
                    <a:xfrm>
                      <a:off x="0" y="0"/>
                      <a:ext cx="5760085" cy="207645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页面展示已加入常用采购目录且采购价格和配送企业均不空的产品。</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输入采购数量，勾选多选框，点击【加入订单】按钮并确定，即将该产品添加至采购明细中。注意：采购数量须为正整数。</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点击【制单完成】按钮，跳转至制单完成页面，如下图：</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1836420"/>
            <wp:effectExtent l="0" t="0" r="12065" b="11430"/>
            <wp:docPr id="3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9"/>
                    <pic:cNvPicPr>
                      <a:picLocks noChangeAspect="1"/>
                    </pic:cNvPicPr>
                  </pic:nvPicPr>
                  <pic:blipFill>
                    <a:blip r:embed="rId19"/>
                    <a:stretch>
                      <a:fillRect/>
                    </a:stretch>
                  </pic:blipFill>
                  <pic:spPr>
                    <a:xfrm>
                      <a:off x="0" y="0"/>
                      <a:ext cx="5760085" cy="183642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点击【继续添加】按钮，可继续为该笔采购单添加订单明细。</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输入采购数量，勾选多选框，点击【保存修改】按钮并确定，可修改采购数量。注意：采购数量须为正整数。</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勾选多选框，点击【删除商品】按钮并确定，将该笔采购明细移除。</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点击【提交】订单按钮并确定，将该笔采购单提交至配送企业。注意：订单一旦提交成功，将不可撤销，请核实后再提交。</w:t>
      </w:r>
    </w:p>
    <w:p>
      <w:pPr>
        <w:spacing w:line="360" w:lineRule="auto"/>
        <w:ind w:firstLine="686"/>
        <w:rPr>
          <w:sz w:val="24"/>
          <w:szCs w:val="24"/>
        </w:rPr>
      </w:pPr>
      <w:r>
        <w:rPr>
          <w:rFonts w:hint="eastAsia"/>
          <w:sz w:val="24"/>
          <w:szCs w:val="24"/>
        </w:rPr>
        <w:t>二、订单发送订单</w:t>
      </w:r>
    </w:p>
    <w:p>
      <w:pPr>
        <w:spacing w:line="360" w:lineRule="auto"/>
        <w:ind w:firstLine="686"/>
        <w:rPr>
          <w:sz w:val="24"/>
          <w:szCs w:val="24"/>
        </w:rPr>
      </w:pPr>
      <w:r>
        <w:rPr>
          <w:rFonts w:hint="eastAsia"/>
          <w:sz w:val="24"/>
          <w:szCs w:val="24"/>
        </w:rPr>
        <w:t>订单发送页面：</w:t>
      </w:r>
    </w:p>
    <w:p>
      <w:pPr>
        <w:spacing w:line="360" w:lineRule="auto"/>
        <w:rPr>
          <w:sz w:val="24"/>
          <w:szCs w:val="24"/>
        </w:rPr>
      </w:pPr>
      <w:r>
        <w:rPr>
          <w:lang w:val="en-US" w:bidi="ar-SA"/>
        </w:rPr>
        <w:drawing>
          <wp:inline distT="0" distB="0" distL="114300" distR="114300">
            <wp:extent cx="5760085" cy="2233295"/>
            <wp:effectExtent l="0" t="0" r="12065" b="14605"/>
            <wp:docPr id="3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0"/>
                    <pic:cNvPicPr>
                      <a:picLocks noChangeAspect="1"/>
                    </pic:cNvPicPr>
                  </pic:nvPicPr>
                  <pic:blipFill>
                    <a:blip r:embed="rId20"/>
                    <a:stretch>
                      <a:fillRect/>
                    </a:stretch>
                  </pic:blipFill>
                  <pic:spPr>
                    <a:xfrm>
                      <a:off x="0" y="0"/>
                      <a:ext cx="5760085" cy="2233295"/>
                    </a:xfrm>
                    <a:prstGeom prst="rect">
                      <a:avLst/>
                    </a:prstGeom>
                    <a:noFill/>
                    <a:ln>
                      <a:noFill/>
                    </a:ln>
                  </pic:spPr>
                </pic:pic>
              </a:graphicData>
            </a:graphic>
          </wp:inline>
        </w:drawing>
      </w:r>
    </w:p>
    <w:p>
      <w:pPr>
        <w:tabs>
          <w:tab w:val="left" w:pos="959"/>
          <w:tab w:val="left" w:pos="960"/>
        </w:tabs>
        <w:spacing w:before="1" w:line="360" w:lineRule="auto"/>
        <w:rPr>
          <w:rFonts w:ascii="Wingdings" w:hAnsi="Wingdings" w:eastAsia="Wingdings"/>
          <w:sz w:val="24"/>
          <w:szCs w:val="24"/>
        </w:rPr>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页面展示未提交的采购单。</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点击订单名称，可重新编辑该笔采购单，具体操作请查看上一页。</w:t>
      </w:r>
    </w:p>
    <w:p>
      <w:pPr>
        <w:pStyle w:val="17"/>
        <w:numPr>
          <w:ilvl w:val="2"/>
          <w:numId w:val="5"/>
        </w:numPr>
        <w:tabs>
          <w:tab w:val="left" w:pos="959"/>
          <w:tab w:val="left" w:pos="960"/>
        </w:tabs>
        <w:spacing w:before="1" w:line="360" w:lineRule="auto"/>
        <w:ind w:left="959"/>
        <w:rPr>
          <w:rFonts w:ascii="Wingdings" w:hAnsi="Wingdings" w:eastAsia="Wingdings"/>
          <w:color w:val="FF0000"/>
          <w:sz w:val="24"/>
          <w:szCs w:val="24"/>
        </w:rPr>
      </w:pPr>
      <w:r>
        <w:rPr>
          <w:rFonts w:hint="eastAsia" w:asciiTheme="minorEastAsia" w:hAnsiTheme="minorEastAsia" w:eastAsiaTheme="minorEastAsia"/>
          <w:color w:val="FF0000"/>
          <w:sz w:val="24"/>
          <w:szCs w:val="24"/>
        </w:rPr>
        <w:t>点击【提交】订单按钮并确定，将该笔采购单提交至配送企业。注意：订单一旦提交成功，将不可撤销，请核实后再提交。</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点击【已发送订单】按钮，查看已发送订单列表，如下图：</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400300"/>
            <wp:effectExtent l="0" t="0" r="12065" b="0"/>
            <wp:docPr id="3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1"/>
                    <pic:cNvPicPr>
                      <a:picLocks noChangeAspect="1"/>
                    </pic:cNvPicPr>
                  </pic:nvPicPr>
                  <pic:blipFill>
                    <a:blip r:embed="rId21"/>
                    <a:stretch>
                      <a:fillRect/>
                    </a:stretch>
                  </pic:blipFill>
                  <pic:spPr>
                    <a:xfrm>
                      <a:off x="0" y="0"/>
                      <a:ext cx="5760085" cy="240030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列表页面展示已提交的采购单。</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点击订单名称，查看该笔订单采购明细。点击【打印】按钮，可打印该笔订单详情。</w:t>
      </w:r>
    </w:p>
    <w:p>
      <w:pPr>
        <w:pStyle w:val="3"/>
        <w:numPr>
          <w:ilvl w:val="1"/>
          <w:numId w:val="1"/>
        </w:numPr>
        <w:tabs>
          <w:tab w:val="left" w:pos="687"/>
        </w:tabs>
      </w:pPr>
      <w:bookmarkStart w:id="11" w:name="_Toc78024052"/>
      <w:r>
        <w:rPr>
          <w:rFonts w:hint="eastAsia"/>
        </w:rPr>
        <w:t>采购统计</w:t>
      </w:r>
      <w:bookmarkEnd w:id="11"/>
    </w:p>
    <w:p>
      <w:pPr>
        <w:ind w:left="686"/>
      </w:pPr>
    </w:p>
    <w:p>
      <w:pPr>
        <w:spacing w:line="360" w:lineRule="auto"/>
        <w:ind w:firstLine="686"/>
        <w:rPr>
          <w:sz w:val="24"/>
          <w:szCs w:val="24"/>
        </w:rPr>
      </w:pPr>
      <w:r>
        <w:rPr>
          <w:rFonts w:hint="eastAsia"/>
          <w:sz w:val="24"/>
          <w:szCs w:val="24"/>
        </w:rPr>
        <w:t>一、采购明细</w:t>
      </w:r>
    </w:p>
    <w:p>
      <w:pPr>
        <w:spacing w:line="360" w:lineRule="auto"/>
        <w:ind w:firstLine="686"/>
        <w:rPr>
          <w:sz w:val="24"/>
          <w:szCs w:val="24"/>
        </w:rPr>
      </w:pPr>
      <w:r>
        <w:rPr>
          <w:rFonts w:hint="eastAsia"/>
          <w:sz w:val="24"/>
          <w:szCs w:val="24"/>
        </w:rPr>
        <w:t>采购明细页面：</w:t>
      </w:r>
    </w:p>
    <w:p>
      <w:pPr>
        <w:spacing w:line="360" w:lineRule="auto"/>
        <w:rPr>
          <w:rFonts w:ascii="Wingdings" w:hAnsi="Wingdings" w:eastAsia="Wingdings"/>
          <w:sz w:val="24"/>
          <w:szCs w:val="24"/>
        </w:rPr>
      </w:pPr>
      <w:r>
        <w:rPr>
          <w:lang w:val="en-US" w:bidi="ar-SA"/>
        </w:rPr>
        <w:drawing>
          <wp:inline distT="0" distB="0" distL="114300" distR="114300">
            <wp:extent cx="5760085" cy="2517775"/>
            <wp:effectExtent l="0" t="0" r="12065" b="15875"/>
            <wp:docPr id="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2"/>
                    <pic:cNvPicPr>
                      <a:picLocks noChangeAspect="1"/>
                    </pic:cNvPicPr>
                  </pic:nvPicPr>
                  <pic:blipFill>
                    <a:blip r:embed="rId22"/>
                    <a:stretch>
                      <a:fillRect/>
                    </a:stretch>
                  </pic:blipFill>
                  <pic:spPr>
                    <a:xfrm>
                      <a:off x="0" y="0"/>
                      <a:ext cx="5760085" cy="2517775"/>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医疗机构用户已提交采购明细，用户可通过查询调价筛选采购明细。点击【导出】按钮，可导出采购明细。</w:t>
      </w:r>
    </w:p>
    <w:p>
      <w:pPr>
        <w:spacing w:line="360" w:lineRule="auto"/>
        <w:ind w:firstLine="686"/>
        <w:rPr>
          <w:sz w:val="24"/>
          <w:szCs w:val="24"/>
        </w:rPr>
      </w:pPr>
      <w:r>
        <w:rPr>
          <w:rFonts w:hint="eastAsia"/>
          <w:sz w:val="24"/>
          <w:szCs w:val="24"/>
        </w:rPr>
        <w:t>二、采购汇总</w:t>
      </w:r>
    </w:p>
    <w:p>
      <w:pPr>
        <w:spacing w:line="360" w:lineRule="auto"/>
        <w:ind w:firstLine="686"/>
        <w:rPr>
          <w:sz w:val="24"/>
          <w:szCs w:val="24"/>
        </w:rPr>
      </w:pPr>
      <w:r>
        <w:rPr>
          <w:rFonts w:hint="eastAsia"/>
          <w:sz w:val="24"/>
          <w:szCs w:val="24"/>
        </w:rPr>
        <w:t>采购汇总页面：</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607310"/>
            <wp:effectExtent l="0" t="0" r="12065" b="2540"/>
            <wp:docPr id="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3"/>
                    <pic:cNvPicPr>
                      <a:picLocks noChangeAspect="1"/>
                    </pic:cNvPicPr>
                  </pic:nvPicPr>
                  <pic:blipFill>
                    <a:blip r:embed="rId23"/>
                    <a:stretch>
                      <a:fillRect/>
                    </a:stretch>
                  </pic:blipFill>
                  <pic:spPr>
                    <a:xfrm>
                      <a:off x="0" y="0"/>
                      <a:ext cx="5760085" cy="260731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页面展示根据商品编号汇总的采购情况。点击【采购明细】可查看该商品具体采购信息。</w:t>
      </w:r>
    </w:p>
    <w:p>
      <w:pPr>
        <w:pStyle w:val="3"/>
        <w:numPr>
          <w:ilvl w:val="1"/>
          <w:numId w:val="1"/>
        </w:numPr>
        <w:tabs>
          <w:tab w:val="left" w:pos="687"/>
        </w:tabs>
      </w:pPr>
      <w:bookmarkStart w:id="12" w:name="_Toc78024053"/>
      <w:r>
        <w:rPr>
          <w:rFonts w:hint="eastAsia"/>
        </w:rPr>
        <w:t>收货管理</w:t>
      </w:r>
      <w:bookmarkEnd w:id="12"/>
    </w:p>
    <w:p>
      <w:pPr>
        <w:ind w:left="686"/>
      </w:pPr>
    </w:p>
    <w:p>
      <w:pPr>
        <w:spacing w:line="360" w:lineRule="auto"/>
        <w:ind w:firstLine="686"/>
        <w:rPr>
          <w:sz w:val="24"/>
          <w:szCs w:val="24"/>
        </w:rPr>
      </w:pPr>
      <w:r>
        <w:rPr>
          <w:rFonts w:hint="eastAsia"/>
          <w:sz w:val="24"/>
          <w:szCs w:val="24"/>
        </w:rPr>
        <w:t>一、收货确认</w:t>
      </w:r>
    </w:p>
    <w:p>
      <w:pPr>
        <w:spacing w:line="360" w:lineRule="auto"/>
        <w:ind w:firstLine="686"/>
        <w:rPr>
          <w:sz w:val="24"/>
          <w:szCs w:val="24"/>
        </w:rPr>
      </w:pPr>
      <w:r>
        <w:rPr>
          <w:rFonts w:hint="eastAsia"/>
          <w:sz w:val="24"/>
          <w:szCs w:val="24"/>
        </w:rPr>
        <w:t>收货确认页面：</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940050"/>
            <wp:effectExtent l="0" t="0" r="12065" b="12700"/>
            <wp:docPr id="4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4"/>
                    <pic:cNvPicPr>
                      <a:picLocks noChangeAspect="1"/>
                    </pic:cNvPicPr>
                  </pic:nvPicPr>
                  <pic:blipFill>
                    <a:blip r:embed="rId24"/>
                    <a:stretch>
                      <a:fillRect/>
                    </a:stretch>
                  </pic:blipFill>
                  <pic:spPr>
                    <a:xfrm>
                      <a:off x="0" y="0"/>
                      <a:ext cx="5760085" cy="294005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页面展示配送企业已配送的配送明细。</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待收货量默认为配送企业的配送数量，</w:t>
      </w:r>
      <w:r>
        <w:rPr>
          <w:rFonts w:hint="eastAsia" w:asciiTheme="minorEastAsia" w:hAnsiTheme="minorEastAsia" w:eastAsiaTheme="minorEastAsia"/>
          <w:sz w:val="24"/>
          <w:szCs w:val="24"/>
          <w:lang w:val="en-US"/>
        </w:rPr>
        <w:t>民营</w:t>
      </w:r>
      <w:r>
        <w:rPr>
          <w:rFonts w:hint="eastAsia" w:asciiTheme="minorEastAsia" w:hAnsiTheme="minorEastAsia" w:eastAsiaTheme="minorEastAsia"/>
          <w:sz w:val="24"/>
          <w:szCs w:val="24"/>
        </w:rPr>
        <w:t>医疗机构用户可按实际情况修改待收货量。</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勾选多选框，点击【收货】按钮并确定，即完成收货。</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勾选多选框，点击【拒绝收货】按钮并确定，即完成拒绝收货。</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lang w:val="en-US"/>
        </w:rPr>
        <w:t>如拒绝收货，则需要填写拒绝的理由。如下图所示：</w:t>
      </w:r>
    </w:p>
    <w:p>
      <w:pPr>
        <w:pStyle w:val="17"/>
        <w:tabs>
          <w:tab w:val="left" w:pos="959"/>
          <w:tab w:val="left" w:pos="960"/>
        </w:tabs>
        <w:spacing w:before="1" w:line="360" w:lineRule="auto"/>
        <w:ind w:left="0" w:firstLine="0"/>
        <w:rPr>
          <w:rFonts w:ascii="Wingdings" w:hAnsi="Wingdings" w:eastAsia="Wingdings"/>
          <w:sz w:val="24"/>
          <w:szCs w:val="24"/>
        </w:rPr>
      </w:pPr>
      <w:r>
        <w:rPr>
          <w:lang w:val="en-US" w:bidi="ar-SA"/>
        </w:rPr>
        <w:drawing>
          <wp:inline distT="0" distB="0" distL="114300" distR="114300">
            <wp:extent cx="5760085" cy="2739390"/>
            <wp:effectExtent l="0" t="0" r="12065" b="3810"/>
            <wp:docPr id="4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6"/>
                    <pic:cNvPicPr>
                      <a:picLocks noChangeAspect="1"/>
                    </pic:cNvPicPr>
                  </pic:nvPicPr>
                  <pic:blipFill>
                    <a:blip r:embed="rId25"/>
                    <a:stretch>
                      <a:fillRect/>
                    </a:stretch>
                  </pic:blipFill>
                  <pic:spPr>
                    <a:xfrm>
                      <a:off x="0" y="0"/>
                      <a:ext cx="5760085" cy="2739390"/>
                    </a:xfrm>
                    <a:prstGeom prst="rect">
                      <a:avLst/>
                    </a:prstGeom>
                    <a:noFill/>
                    <a:ln>
                      <a:noFill/>
                    </a:ln>
                  </pic:spPr>
                </pic:pic>
              </a:graphicData>
            </a:graphic>
          </wp:inline>
        </w:drawing>
      </w:r>
    </w:p>
    <w:p>
      <w:pPr>
        <w:spacing w:line="360" w:lineRule="auto"/>
        <w:ind w:firstLine="686"/>
        <w:rPr>
          <w:sz w:val="24"/>
          <w:szCs w:val="24"/>
        </w:rPr>
      </w:pPr>
      <w:r>
        <w:rPr>
          <w:rFonts w:hint="eastAsia"/>
          <w:sz w:val="24"/>
          <w:szCs w:val="24"/>
        </w:rPr>
        <w:t>二、收货信息查看</w:t>
      </w:r>
    </w:p>
    <w:p>
      <w:pPr>
        <w:spacing w:line="360" w:lineRule="auto"/>
        <w:ind w:firstLine="686"/>
        <w:rPr>
          <w:rFonts w:ascii="Wingdings" w:hAnsi="Wingdings" w:eastAsia="Wingdings"/>
          <w:sz w:val="24"/>
          <w:szCs w:val="24"/>
        </w:rPr>
      </w:pPr>
      <w:r>
        <w:rPr>
          <w:rFonts w:hint="eastAsia"/>
          <w:sz w:val="24"/>
          <w:szCs w:val="24"/>
        </w:rPr>
        <w:t>收货信息查看页面：</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页面展示已完成收货确认和拒绝收货的配送明细。</w:t>
      </w:r>
    </w:p>
    <w:p>
      <w:pPr>
        <w:pStyle w:val="3"/>
        <w:numPr>
          <w:ilvl w:val="1"/>
          <w:numId w:val="1"/>
        </w:numPr>
        <w:tabs>
          <w:tab w:val="left" w:pos="687"/>
        </w:tabs>
      </w:pPr>
      <w:bookmarkStart w:id="13" w:name="_Toc78024054"/>
      <w:r>
        <w:rPr>
          <w:rFonts w:hint="eastAsia"/>
        </w:rPr>
        <w:t>退货管理</w:t>
      </w:r>
      <w:bookmarkEnd w:id="13"/>
    </w:p>
    <w:p>
      <w:pPr>
        <w:ind w:left="686"/>
      </w:pPr>
    </w:p>
    <w:p>
      <w:pPr>
        <w:spacing w:line="360" w:lineRule="auto"/>
        <w:ind w:firstLine="686"/>
        <w:rPr>
          <w:sz w:val="24"/>
          <w:szCs w:val="24"/>
        </w:rPr>
      </w:pPr>
      <w:r>
        <w:rPr>
          <w:rFonts w:hint="eastAsia"/>
          <w:sz w:val="24"/>
          <w:szCs w:val="24"/>
        </w:rPr>
        <w:t>一、退货申请</w:t>
      </w:r>
    </w:p>
    <w:p>
      <w:pPr>
        <w:spacing w:line="360" w:lineRule="auto"/>
        <w:ind w:firstLine="686"/>
        <w:rPr>
          <w:sz w:val="24"/>
          <w:szCs w:val="24"/>
        </w:rPr>
      </w:pPr>
      <w:r>
        <w:rPr>
          <w:rFonts w:hint="eastAsia"/>
          <w:sz w:val="24"/>
          <w:szCs w:val="24"/>
        </w:rPr>
        <w:t>退货申请页面：</w:t>
      </w:r>
    </w:p>
    <w:p>
      <w:pPr>
        <w:spacing w:line="360" w:lineRule="auto"/>
        <w:rPr>
          <w:rFonts w:ascii="Wingdings" w:hAnsi="Wingdings" w:eastAsia="Wingdings"/>
          <w:sz w:val="24"/>
          <w:szCs w:val="24"/>
        </w:rPr>
      </w:pPr>
      <w:r>
        <w:rPr>
          <w:lang w:val="en-US" w:bidi="ar-SA"/>
        </w:rPr>
        <w:drawing>
          <wp:inline distT="0" distB="0" distL="114300" distR="114300">
            <wp:extent cx="5760085" cy="2082800"/>
            <wp:effectExtent l="0" t="0" r="12065" b="12700"/>
            <wp:docPr id="4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7"/>
                    <pic:cNvPicPr>
                      <a:picLocks noChangeAspect="1"/>
                    </pic:cNvPicPr>
                  </pic:nvPicPr>
                  <pic:blipFill>
                    <a:blip r:embed="rId26"/>
                    <a:stretch>
                      <a:fillRect/>
                    </a:stretch>
                  </pic:blipFill>
                  <pic:spPr>
                    <a:xfrm>
                      <a:off x="0" y="0"/>
                      <a:ext cx="5760085" cy="208280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页面展示未提交的退货明细。</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点击【提交】按钮并确定，将该笔退货单提交给配送企业。</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点击【查看】按钮，查看退货单明细。点击【添加】按钮，为该笔退货单继续添加退货明细。点击【删除】按钮并确定，删除该笔退货单。</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点击【新建退换货单】按钮，跳转至新建退货单页面，如下图：</w:t>
      </w:r>
    </w:p>
    <w:p>
      <w:pPr>
        <w:tabs>
          <w:tab w:val="left" w:pos="959"/>
          <w:tab w:val="left" w:pos="960"/>
        </w:tabs>
        <w:spacing w:before="1" w:line="360" w:lineRule="auto"/>
      </w:pPr>
      <w:r>
        <w:rPr>
          <w:lang w:val="en-US" w:bidi="ar-SA"/>
        </w:rPr>
        <w:drawing>
          <wp:inline distT="0" distB="0" distL="114300" distR="114300">
            <wp:extent cx="5499735" cy="915670"/>
            <wp:effectExtent l="0" t="0" r="5715" b="17780"/>
            <wp:docPr id="4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8"/>
                    <pic:cNvPicPr>
                      <a:picLocks noChangeAspect="1"/>
                    </pic:cNvPicPr>
                  </pic:nvPicPr>
                  <pic:blipFill>
                    <a:blip r:embed="rId27"/>
                    <a:stretch>
                      <a:fillRect/>
                    </a:stretch>
                  </pic:blipFill>
                  <pic:spPr>
                    <a:xfrm>
                      <a:off x="0" y="0"/>
                      <a:ext cx="5499735" cy="915670"/>
                    </a:xfrm>
                    <a:prstGeom prst="rect">
                      <a:avLst/>
                    </a:prstGeom>
                    <a:noFill/>
                    <a:ln>
                      <a:noFill/>
                    </a:ln>
                  </pic:spPr>
                </pic:pic>
              </a:graphicData>
            </a:graphic>
          </wp:inline>
        </w:drawing>
      </w:r>
    </w:p>
    <w:p>
      <w:pPr>
        <w:tabs>
          <w:tab w:val="left" w:pos="959"/>
          <w:tab w:val="left" w:pos="960"/>
        </w:tabs>
        <w:spacing w:before="1" w:line="360" w:lineRule="auto"/>
      </w:pPr>
      <w:r>
        <w:rPr>
          <w:lang w:val="en-US" w:bidi="ar-SA"/>
        </w:rPr>
        <w:drawing>
          <wp:inline distT="0" distB="0" distL="114300" distR="114300">
            <wp:extent cx="5760085" cy="1195070"/>
            <wp:effectExtent l="0" t="0" r="12065" b="5080"/>
            <wp:docPr id="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9"/>
                    <pic:cNvPicPr>
                      <a:picLocks noChangeAspect="1"/>
                    </pic:cNvPicPr>
                  </pic:nvPicPr>
                  <pic:blipFill>
                    <a:blip r:embed="rId28"/>
                    <a:stretch>
                      <a:fillRect/>
                    </a:stretch>
                  </pic:blipFill>
                  <pic:spPr>
                    <a:xfrm>
                      <a:off x="0" y="0"/>
                      <a:ext cx="5760085" cy="1195070"/>
                    </a:xfrm>
                    <a:prstGeom prst="rect">
                      <a:avLst/>
                    </a:prstGeom>
                    <a:noFill/>
                    <a:ln>
                      <a:noFill/>
                    </a:ln>
                  </pic:spPr>
                </pic:pic>
              </a:graphicData>
            </a:graphic>
          </wp:inline>
        </w:drawing>
      </w:r>
    </w:p>
    <w:p>
      <w:pPr>
        <w:tabs>
          <w:tab w:val="left" w:pos="959"/>
          <w:tab w:val="left" w:pos="960"/>
        </w:tabs>
        <w:spacing w:before="1" w:line="360" w:lineRule="auto"/>
        <w:rPr>
          <w:rFonts w:ascii="Wingdings" w:hAnsi="Wingdings" w:eastAsia="Wingdings"/>
          <w:sz w:val="24"/>
          <w:szCs w:val="24"/>
        </w:rPr>
      </w:pPr>
    </w:p>
    <w:p>
      <w:pPr>
        <w:tabs>
          <w:tab w:val="left" w:pos="959"/>
          <w:tab w:val="left" w:pos="960"/>
        </w:tabs>
        <w:spacing w:before="1" w:line="360" w:lineRule="auto"/>
        <w:rPr>
          <w:rFonts w:ascii="Wingdings" w:hAnsi="Wingdings" w:eastAsia="Wingdings"/>
          <w:sz w:val="24"/>
          <w:szCs w:val="24"/>
        </w:rPr>
      </w:pP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退货单名称自动生成。</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点击【保存】按钮并确定，保存退货单。点击【下一步】按钮，跳转至添加退货明细页面，如下图：</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449830"/>
            <wp:effectExtent l="0" t="0" r="12065" b="7620"/>
            <wp:docPr id="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0"/>
                    <pic:cNvPicPr>
                      <a:picLocks noChangeAspect="1"/>
                    </pic:cNvPicPr>
                  </pic:nvPicPr>
                  <pic:blipFill>
                    <a:blip r:embed="rId29"/>
                    <a:stretch>
                      <a:fillRect/>
                    </a:stretch>
                  </pic:blipFill>
                  <pic:spPr>
                    <a:xfrm>
                      <a:off x="0" y="0"/>
                      <a:ext cx="5760085" cy="2449830"/>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页面展示已完成收货的配送明细。</w:t>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rPr>
        <w:t>输入退货数量，退货原因，勾选多选框，点击【保存】按钮并确定，添加至退货明细。注意：退货数量为正整数，不能大于入库数量。</w:t>
      </w:r>
    </w:p>
    <w:p>
      <w:pPr>
        <w:spacing w:line="360" w:lineRule="auto"/>
        <w:ind w:firstLine="686"/>
        <w:rPr>
          <w:sz w:val="24"/>
          <w:szCs w:val="24"/>
        </w:rPr>
      </w:pPr>
      <w:r>
        <w:rPr>
          <w:rFonts w:hint="eastAsia"/>
          <w:sz w:val="24"/>
          <w:szCs w:val="24"/>
        </w:rPr>
        <w:t>二、退货查询</w:t>
      </w:r>
    </w:p>
    <w:p>
      <w:pPr>
        <w:spacing w:line="360" w:lineRule="auto"/>
        <w:ind w:firstLine="686"/>
        <w:rPr>
          <w:sz w:val="24"/>
          <w:szCs w:val="24"/>
        </w:rPr>
      </w:pPr>
      <w:r>
        <w:rPr>
          <w:rFonts w:hint="eastAsia"/>
          <w:sz w:val="24"/>
          <w:szCs w:val="24"/>
        </w:rPr>
        <w:t>退货查询页面：</w:t>
      </w:r>
    </w:p>
    <w:p>
      <w:pPr>
        <w:tabs>
          <w:tab w:val="left" w:pos="959"/>
          <w:tab w:val="left" w:pos="960"/>
        </w:tabs>
        <w:spacing w:before="1" w:line="360" w:lineRule="auto"/>
        <w:rPr>
          <w:rFonts w:ascii="Wingdings" w:hAnsi="Wingdings" w:eastAsia="Wingdings"/>
          <w:sz w:val="24"/>
          <w:szCs w:val="24"/>
        </w:rPr>
      </w:pPr>
      <w:r>
        <w:rPr>
          <w:lang w:val="en-US" w:bidi="ar-SA"/>
        </w:rPr>
        <w:drawing>
          <wp:inline distT="0" distB="0" distL="114300" distR="114300">
            <wp:extent cx="5760085" cy="2277745"/>
            <wp:effectExtent l="0" t="0" r="12065" b="8255"/>
            <wp:docPr id="4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pic:cNvPicPr>
                      <a:picLocks noChangeAspect="1"/>
                    </pic:cNvPicPr>
                  </pic:nvPicPr>
                  <pic:blipFill>
                    <a:blip r:embed="rId30"/>
                    <a:stretch>
                      <a:fillRect/>
                    </a:stretch>
                  </pic:blipFill>
                  <pic:spPr>
                    <a:xfrm>
                      <a:off x="0" y="0"/>
                      <a:ext cx="5760085" cy="2277745"/>
                    </a:xfrm>
                    <a:prstGeom prst="rect">
                      <a:avLst/>
                    </a:prstGeom>
                    <a:noFill/>
                    <a:ln>
                      <a:noFill/>
                    </a:ln>
                  </pic:spPr>
                </pic:pic>
              </a:graphicData>
            </a:graphic>
          </wp:inline>
        </w:drawing>
      </w:r>
    </w:p>
    <w:p>
      <w:pPr>
        <w:pStyle w:val="17"/>
        <w:numPr>
          <w:ilvl w:val="2"/>
          <w:numId w:val="5"/>
        </w:numPr>
        <w:tabs>
          <w:tab w:val="left" w:pos="959"/>
          <w:tab w:val="left" w:pos="960"/>
        </w:tabs>
        <w:spacing w:before="1" w:line="360" w:lineRule="auto"/>
        <w:ind w:left="959"/>
        <w:rPr>
          <w:rFonts w:ascii="Wingdings" w:hAnsi="Wingdings" w:eastAsia="Wingdings"/>
          <w:sz w:val="24"/>
          <w:szCs w:val="24"/>
        </w:rPr>
      </w:pPr>
      <w:r>
        <w:rPr>
          <w:rFonts w:hint="eastAsia" w:asciiTheme="minorEastAsia" w:hAnsiTheme="minorEastAsia" w:eastAsiaTheme="minorEastAsia"/>
          <w:sz w:val="24"/>
          <w:szCs w:val="24"/>
          <w:lang w:val="en-US"/>
        </w:rPr>
        <w:t>该</w:t>
      </w:r>
      <w:r>
        <w:rPr>
          <w:rFonts w:hint="eastAsia" w:asciiTheme="minorEastAsia" w:hAnsiTheme="minorEastAsia" w:eastAsiaTheme="minorEastAsia"/>
          <w:sz w:val="24"/>
          <w:szCs w:val="24"/>
        </w:rPr>
        <w:t>页面展示已提交的退货明细。</w:t>
      </w:r>
    </w:p>
    <w:sectPr>
      <w:pgSz w:w="11910" w:h="16840"/>
      <w:pgMar w:top="1420" w:right="1560" w:bottom="1380" w:left="1680" w:header="852" w:footer="11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3683635</wp:posOffset>
              </wp:positionH>
              <wp:positionV relativeFrom="page">
                <wp:posOffset>9792970</wp:posOffset>
              </wp:positionV>
              <wp:extent cx="192405" cy="139700"/>
              <wp:effectExtent l="0" t="0" r="0" b="0"/>
              <wp:wrapNone/>
              <wp:docPr id="15" name="文本框 1"/>
              <wp:cNvGraphicFramePr/>
              <a:graphic xmlns:a="http://schemas.openxmlformats.org/drawingml/2006/main">
                <a:graphicData uri="http://schemas.microsoft.com/office/word/2010/wordprocessingShape">
                  <wps:wsp>
                    <wps:cNvSpPr txBox="1"/>
                    <wps:spPr>
                      <a:xfrm>
                        <a:off x="0" y="0"/>
                        <a:ext cx="192405" cy="139700"/>
                      </a:xfrm>
                      <a:prstGeom prst="rect">
                        <a:avLst/>
                      </a:prstGeom>
                      <a:noFill/>
                      <a:ln>
                        <a:noFill/>
                      </a:ln>
                    </wps:spPr>
                    <wps:txbx>
                      <w:txbxContent>
                        <w:p>
                          <w:pPr>
                            <w:spacing w:line="203" w:lineRule="exact"/>
                            <w:ind w:left="60"/>
                            <w:rPr>
                              <w:rFonts w:ascii="Calibri"/>
                              <w:sz w:val="18"/>
                            </w:rPr>
                          </w:pPr>
                          <w:r>
                            <w:fldChar w:fldCharType="begin"/>
                          </w:r>
                          <w:r>
                            <w:rPr>
                              <w:rFonts w:ascii="Calibri"/>
                              <w:sz w:val="18"/>
                            </w:rPr>
                            <w:instrText xml:space="preserve"> PAGE </w:instrText>
                          </w:r>
                          <w:r>
                            <w:fldChar w:fldCharType="separate"/>
                          </w:r>
                          <w:r>
                            <w:rPr>
                              <w:rFonts w:ascii="Calibri"/>
                              <w:sz w:val="18"/>
                            </w:rPr>
                            <w:t>5</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0.05pt;margin-top:771.1pt;height:11pt;width:15.15pt;mso-position-horizontal-relative:page;mso-position-vertical-relative:page;z-index:-251655168;mso-width-relative:page;mso-height-relative:page;" filled="f" stroked="f" coordsize="21600,21600" o:gfxdata="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7A++aNoAAAANAQAADwAAAAAAAAABACAAAAAiAAAAZHJzL2Rvd25yZXYueG1sUEsB&#10;AhQAFAAAAAgAh07iQCICQ8G6AQAAcgMAAA4AAAAAAAAAAQAgAAAAKQEAAGRycy9lMm9Eb2MueG1s&#10;UEsFBgAAAAAGAAYAWQEAAFUFAAAAAA==&#10;">
              <v:fill on="f" focussize="0,0"/>
              <v:stroke on="f"/>
              <v:imagedata o:title=""/>
              <o:lock v:ext="edit" aspectratio="f"/>
              <v:textbox inset="0mm,0mm,0mm,0mm">
                <w:txbxContent>
                  <w:p>
                    <w:pPr>
                      <w:spacing w:line="203" w:lineRule="exact"/>
                      <w:ind w:left="60"/>
                      <w:rPr>
                        <w:rFonts w:ascii="Calibri"/>
                        <w:sz w:val="18"/>
                      </w:rPr>
                    </w:pPr>
                    <w:r>
                      <w:fldChar w:fldCharType="begin"/>
                    </w:r>
                    <w:r>
                      <w:rPr>
                        <w:rFonts w:ascii="Calibri"/>
                        <w:sz w:val="18"/>
                      </w:rPr>
                      <w:instrText xml:space="preserve"> PAGE </w:instrText>
                    </w:r>
                    <w:r>
                      <w:fldChar w:fldCharType="separate"/>
                    </w:r>
                    <w:r>
                      <w:rPr>
                        <w:rFonts w:ascii="Calibri"/>
                        <w:sz w:val="18"/>
                      </w:rP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4141470</wp:posOffset>
              </wp:positionH>
              <wp:positionV relativeFrom="page">
                <wp:posOffset>682625</wp:posOffset>
              </wp:positionV>
              <wp:extent cx="2235200" cy="176530"/>
              <wp:effectExtent l="0" t="0" r="0" b="0"/>
              <wp:wrapNone/>
              <wp:docPr id="12" name="文本框 4"/>
              <wp:cNvGraphicFramePr/>
              <a:graphic xmlns:a="http://schemas.openxmlformats.org/drawingml/2006/main">
                <a:graphicData uri="http://schemas.microsoft.com/office/word/2010/wordprocessingShape">
                  <wps:wsp>
                    <wps:cNvSpPr txBox="1"/>
                    <wps:spPr>
                      <a:xfrm>
                        <a:off x="0" y="0"/>
                        <a:ext cx="2235200" cy="176530"/>
                      </a:xfrm>
                      <a:prstGeom prst="rect">
                        <a:avLst/>
                      </a:prstGeom>
                      <a:noFill/>
                      <a:ln>
                        <a:noFill/>
                      </a:ln>
                    </wps:spPr>
                    <wps:txbx>
                      <w:txbxContent>
                        <w:p>
                          <w:pPr>
                            <w:spacing w:line="278" w:lineRule="exact"/>
                            <w:ind w:left="20"/>
                            <w:rPr>
                              <w:rFonts w:ascii="微软雅黑" w:eastAsia="微软雅黑"/>
                              <w:sz w:val="18"/>
                              <w:lang w:val="en-US"/>
                            </w:rPr>
                          </w:pPr>
                          <w:r>
                            <w:rPr>
                              <w:rFonts w:hint="eastAsia" w:ascii="微软雅黑" w:eastAsia="微软雅黑"/>
                              <w:sz w:val="18"/>
                            </w:rPr>
                            <w:t>云南省医用耗材集中采购交易系统</w:t>
                          </w:r>
                          <w:r>
                            <w:rPr>
                              <w:rFonts w:hint="eastAsia" w:ascii="微软雅黑" w:eastAsia="微软雅黑"/>
                              <w:sz w:val="18"/>
                              <w:lang w:val="en-US"/>
                            </w:rPr>
                            <w:t>V3.5</w:t>
                          </w:r>
                        </w:p>
                      </w:txbxContent>
                    </wps:txbx>
                    <wps:bodyPr lIns="0" tIns="0" rIns="0" bIns="0" upright="1"/>
                  </wps:wsp>
                </a:graphicData>
              </a:graphic>
            </wp:anchor>
          </w:drawing>
        </mc:Choice>
        <mc:Fallback>
          <w:pict>
            <v:shape id="文本框 4" o:spid="_x0000_s1026" o:spt="202" type="#_x0000_t202" style="position:absolute;left:0pt;margin-left:326.1pt;margin-top:53.75pt;height:13.9pt;width:176pt;mso-position-horizontal-relative:page;mso-position-vertical-relative:page;z-index:-251656192;mso-width-relative:page;mso-height-relative:page;" filled="f" stroked="f" coordsize="21600,21600" o:gfxdata="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lkXjdkAAAAMAQAADwAAAAAAAAABACAAAAAiAAAAZHJzL2Rvd25yZXYueG1sUEsB&#10;AhQAFAAAAAgAh07iQFY0Oxm7AQAAcwMAAA4AAAAAAAAAAQAgAAAAKAEAAGRycy9lMm9Eb2MueG1s&#10;UEsFBgAAAAAGAAYAWQEAAFUFAAAAAA==&#10;">
              <v:fill on="f" focussize="0,0"/>
              <v:stroke on="f"/>
              <v:imagedata o:title=""/>
              <o:lock v:ext="edit" aspectratio="f"/>
              <v:textbox inset="0mm,0mm,0mm,0mm">
                <w:txbxContent>
                  <w:p>
                    <w:pPr>
                      <w:spacing w:line="278" w:lineRule="exact"/>
                      <w:ind w:left="20"/>
                      <w:rPr>
                        <w:rFonts w:ascii="微软雅黑" w:eastAsia="微软雅黑"/>
                        <w:sz w:val="18"/>
                        <w:lang w:val="en-US"/>
                      </w:rPr>
                    </w:pPr>
                    <w:r>
                      <w:rPr>
                        <w:rFonts w:hint="eastAsia" w:ascii="微软雅黑" w:eastAsia="微软雅黑"/>
                        <w:sz w:val="18"/>
                      </w:rPr>
                      <w:t>云南省医用耗材集中采购交易系统</w:t>
                    </w:r>
                    <w:r>
                      <w:rPr>
                        <w:rFonts w:hint="eastAsia" w:ascii="微软雅黑" w:eastAsia="微软雅黑"/>
                        <w:sz w:val="18"/>
                        <w:lang w:val="en-US"/>
                      </w:rPr>
                      <w:t>V3.5</w:t>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884555</wp:posOffset>
              </wp:positionV>
              <wp:extent cx="5274310" cy="0"/>
              <wp:effectExtent l="0" t="0" r="0" b="0"/>
              <wp:wrapNone/>
              <wp:docPr id="11" name="直线 5"/>
              <wp:cNvGraphicFramePr/>
              <a:graphic xmlns:a="http://schemas.openxmlformats.org/drawingml/2006/main">
                <a:graphicData uri="http://schemas.microsoft.com/office/word/2010/wordprocessingShape">
                  <wps:wsp>
                    <wps:cNvCnPr/>
                    <wps:spPr>
                      <a:xfrm>
                        <a:off x="0" y="0"/>
                        <a:ext cx="52743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90pt;margin-top:69.65pt;height:0pt;width:415.3pt;mso-position-horizontal-relative:page;mso-position-vertical-relative:page;z-index:-251657216;mso-width-relative:page;mso-height-relative:page;" filled="f" stroked="t" coordsize="21600,21600" o:gfxdata="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GHRfZtgAAAAMAQAA&#10;DwAAAAAAAAABACAAAAAiAAAAZHJzL2Rvd25yZXYueG1sUEsBAhQAFAAAAAgAh07iQHXVJ7zgAQAA&#10;0AMAAA4AAAAAAAAAAQAgAAAAJwEAAGRycy9lMm9Eb2MueG1sUEsFBgAAAAAGAAYAWQEAAHkFAAAA&#10;AA==&#10;">
              <v:fill on="f" focussize="0,0"/>
              <v:stroke weight="0.48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240D64"/>
    <w:multiLevelType w:val="multilevel"/>
    <w:tmpl w:val="38240D64"/>
    <w:lvl w:ilvl="0" w:tentative="0">
      <w:start w:val="1"/>
      <w:numFmt w:val="japaneseCounting"/>
      <w:lvlText w:val="%1、"/>
      <w:lvlJc w:val="left"/>
      <w:pPr>
        <w:ind w:left="1080" w:hanging="4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425D293A"/>
    <w:multiLevelType w:val="multilevel"/>
    <w:tmpl w:val="425D293A"/>
    <w:lvl w:ilvl="0" w:tentative="0">
      <w:start w:val="1"/>
      <w:numFmt w:val="decimal"/>
      <w:lvlText w:val="%1、"/>
      <w:lvlJc w:val="left"/>
      <w:pPr>
        <w:ind w:left="1319" w:hanging="360"/>
      </w:pPr>
      <w:rPr>
        <w:rFonts w:hint="default"/>
      </w:rPr>
    </w:lvl>
    <w:lvl w:ilvl="1" w:tentative="0">
      <w:start w:val="1"/>
      <w:numFmt w:val="lowerLetter"/>
      <w:lvlText w:val="%2)"/>
      <w:lvlJc w:val="left"/>
      <w:pPr>
        <w:ind w:left="1799" w:hanging="420"/>
      </w:pPr>
    </w:lvl>
    <w:lvl w:ilvl="2" w:tentative="0">
      <w:start w:val="1"/>
      <w:numFmt w:val="lowerRoman"/>
      <w:lvlText w:val="%3."/>
      <w:lvlJc w:val="right"/>
      <w:pPr>
        <w:ind w:left="2219" w:hanging="420"/>
      </w:pPr>
    </w:lvl>
    <w:lvl w:ilvl="3" w:tentative="0">
      <w:start w:val="1"/>
      <w:numFmt w:val="decimal"/>
      <w:lvlText w:val="%4."/>
      <w:lvlJc w:val="left"/>
      <w:pPr>
        <w:ind w:left="2639" w:hanging="420"/>
      </w:pPr>
    </w:lvl>
    <w:lvl w:ilvl="4" w:tentative="0">
      <w:start w:val="1"/>
      <w:numFmt w:val="lowerLetter"/>
      <w:lvlText w:val="%5)"/>
      <w:lvlJc w:val="left"/>
      <w:pPr>
        <w:ind w:left="3059" w:hanging="420"/>
      </w:pPr>
    </w:lvl>
    <w:lvl w:ilvl="5" w:tentative="0">
      <w:start w:val="1"/>
      <w:numFmt w:val="lowerRoman"/>
      <w:lvlText w:val="%6."/>
      <w:lvlJc w:val="right"/>
      <w:pPr>
        <w:ind w:left="3479" w:hanging="420"/>
      </w:pPr>
    </w:lvl>
    <w:lvl w:ilvl="6" w:tentative="0">
      <w:start w:val="1"/>
      <w:numFmt w:val="decimal"/>
      <w:lvlText w:val="%7."/>
      <w:lvlJc w:val="left"/>
      <w:pPr>
        <w:ind w:left="3899" w:hanging="420"/>
      </w:pPr>
    </w:lvl>
    <w:lvl w:ilvl="7" w:tentative="0">
      <w:start w:val="1"/>
      <w:numFmt w:val="lowerLetter"/>
      <w:lvlText w:val="%8)"/>
      <w:lvlJc w:val="left"/>
      <w:pPr>
        <w:ind w:left="4319" w:hanging="420"/>
      </w:pPr>
    </w:lvl>
    <w:lvl w:ilvl="8" w:tentative="0">
      <w:start w:val="1"/>
      <w:numFmt w:val="lowerRoman"/>
      <w:lvlText w:val="%9."/>
      <w:lvlJc w:val="right"/>
      <w:pPr>
        <w:ind w:left="4739" w:hanging="420"/>
      </w:pPr>
    </w:lvl>
  </w:abstractNum>
  <w:abstractNum w:abstractNumId="2">
    <w:nsid w:val="4F8C7B20"/>
    <w:multiLevelType w:val="multilevel"/>
    <w:tmpl w:val="4F8C7B20"/>
    <w:lvl w:ilvl="0" w:tentative="0">
      <w:start w:val="1"/>
      <w:numFmt w:val="decimal"/>
      <w:lvlText w:val="%1."/>
      <w:lvlJc w:val="left"/>
      <w:pPr>
        <w:ind w:left="544" w:hanging="425"/>
      </w:pPr>
      <w:rPr>
        <w:rFonts w:hint="default" w:ascii="Calibri" w:hAnsi="Calibri" w:eastAsia="Calibri" w:cs="Calibri"/>
        <w:b/>
        <w:bCs/>
        <w:w w:val="99"/>
        <w:sz w:val="44"/>
        <w:szCs w:val="44"/>
        <w:lang w:val="zh-CN" w:eastAsia="zh-CN" w:bidi="zh-CN"/>
      </w:rPr>
    </w:lvl>
    <w:lvl w:ilvl="1" w:tentative="0">
      <w:start w:val="1"/>
      <w:numFmt w:val="decimal"/>
      <w:lvlText w:val="%1.%2."/>
      <w:lvlJc w:val="left"/>
      <w:pPr>
        <w:ind w:left="686" w:hanging="567"/>
      </w:pPr>
      <w:rPr>
        <w:rFonts w:hint="default" w:ascii="Cambria" w:hAnsi="Cambria" w:eastAsia="Cambria" w:cs="Cambria"/>
        <w:b/>
        <w:bCs/>
        <w:w w:val="99"/>
        <w:sz w:val="32"/>
        <w:szCs w:val="32"/>
        <w:lang w:val="zh-CN" w:eastAsia="zh-CN" w:bidi="zh-CN"/>
      </w:rPr>
    </w:lvl>
    <w:lvl w:ilvl="2" w:tentative="0">
      <w:start w:val="0"/>
      <w:numFmt w:val="bullet"/>
      <w:lvlText w:val=""/>
      <w:lvlJc w:val="left"/>
      <w:pPr>
        <w:ind w:left="960" w:hanging="420"/>
      </w:pPr>
      <w:rPr>
        <w:rFonts w:hint="default"/>
        <w:w w:val="100"/>
        <w:lang w:val="zh-CN" w:eastAsia="zh-CN" w:bidi="zh-CN"/>
      </w:rPr>
    </w:lvl>
    <w:lvl w:ilvl="3" w:tentative="0">
      <w:start w:val="0"/>
      <w:numFmt w:val="bullet"/>
      <w:lvlText w:val=""/>
      <w:lvlJc w:val="left"/>
      <w:pPr>
        <w:ind w:left="1380" w:hanging="420"/>
      </w:pPr>
      <w:rPr>
        <w:rFonts w:hint="default" w:ascii="Wingdings" w:hAnsi="Wingdings" w:eastAsia="Wingdings" w:cs="Wingdings"/>
        <w:w w:val="100"/>
        <w:sz w:val="24"/>
        <w:szCs w:val="24"/>
        <w:lang w:val="zh-CN" w:eastAsia="zh-CN" w:bidi="zh-CN"/>
      </w:rPr>
    </w:lvl>
    <w:lvl w:ilvl="4" w:tentative="0">
      <w:start w:val="0"/>
      <w:numFmt w:val="bullet"/>
      <w:lvlText w:val="•"/>
      <w:lvlJc w:val="left"/>
      <w:pPr>
        <w:ind w:left="2420" w:hanging="420"/>
      </w:pPr>
      <w:rPr>
        <w:rFonts w:hint="default"/>
        <w:lang w:val="zh-CN" w:eastAsia="zh-CN" w:bidi="zh-CN"/>
      </w:rPr>
    </w:lvl>
    <w:lvl w:ilvl="5" w:tentative="0">
      <w:start w:val="0"/>
      <w:numFmt w:val="bullet"/>
      <w:lvlText w:val="•"/>
      <w:lvlJc w:val="left"/>
      <w:pPr>
        <w:ind w:left="3461" w:hanging="420"/>
      </w:pPr>
      <w:rPr>
        <w:rFonts w:hint="default"/>
        <w:lang w:val="zh-CN" w:eastAsia="zh-CN" w:bidi="zh-CN"/>
      </w:rPr>
    </w:lvl>
    <w:lvl w:ilvl="6" w:tentative="0">
      <w:start w:val="0"/>
      <w:numFmt w:val="bullet"/>
      <w:lvlText w:val="•"/>
      <w:lvlJc w:val="left"/>
      <w:pPr>
        <w:ind w:left="4502" w:hanging="420"/>
      </w:pPr>
      <w:rPr>
        <w:rFonts w:hint="default"/>
        <w:lang w:val="zh-CN" w:eastAsia="zh-CN" w:bidi="zh-CN"/>
      </w:rPr>
    </w:lvl>
    <w:lvl w:ilvl="7" w:tentative="0">
      <w:start w:val="0"/>
      <w:numFmt w:val="bullet"/>
      <w:lvlText w:val="•"/>
      <w:lvlJc w:val="left"/>
      <w:pPr>
        <w:ind w:left="5543" w:hanging="420"/>
      </w:pPr>
      <w:rPr>
        <w:rFonts w:hint="default"/>
        <w:lang w:val="zh-CN" w:eastAsia="zh-CN" w:bidi="zh-CN"/>
      </w:rPr>
    </w:lvl>
    <w:lvl w:ilvl="8" w:tentative="0">
      <w:start w:val="0"/>
      <w:numFmt w:val="bullet"/>
      <w:lvlText w:val="•"/>
      <w:lvlJc w:val="left"/>
      <w:pPr>
        <w:ind w:left="6584" w:hanging="420"/>
      </w:pPr>
      <w:rPr>
        <w:rFonts w:hint="default"/>
        <w:lang w:val="zh-CN" w:eastAsia="zh-CN" w:bidi="zh-CN"/>
      </w:rPr>
    </w:lvl>
  </w:abstractNum>
  <w:abstractNum w:abstractNumId="3">
    <w:nsid w:val="509D69E8"/>
    <w:multiLevelType w:val="multilevel"/>
    <w:tmpl w:val="509D69E8"/>
    <w:lvl w:ilvl="0" w:tentative="0">
      <w:start w:val="1"/>
      <w:numFmt w:val="none"/>
      <w:lvlText w:val="一、"/>
      <w:lvlJc w:val="left"/>
      <w:pPr>
        <w:ind w:left="1416" w:hanging="456"/>
      </w:pPr>
      <w:rPr>
        <w:rFonts w:hint="default"/>
      </w:r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4">
    <w:nsid w:val="699F44C9"/>
    <w:multiLevelType w:val="multilevel"/>
    <w:tmpl w:val="699F44C9"/>
    <w:lvl w:ilvl="0" w:tentative="0">
      <w:start w:val="1"/>
      <w:numFmt w:val="decimal"/>
      <w:lvlText w:val="%1."/>
      <w:lvlJc w:val="left"/>
      <w:pPr>
        <w:ind w:left="544" w:hanging="425"/>
      </w:pPr>
      <w:rPr>
        <w:rFonts w:hint="default" w:ascii="Calibri" w:hAnsi="Calibri" w:eastAsia="Calibri" w:cs="Calibri"/>
        <w:b/>
        <w:bCs/>
        <w:w w:val="99"/>
        <w:sz w:val="44"/>
        <w:szCs w:val="44"/>
        <w:lang w:val="zh-CN" w:eastAsia="zh-CN" w:bidi="zh-CN"/>
      </w:rPr>
    </w:lvl>
    <w:lvl w:ilvl="1" w:tentative="0">
      <w:start w:val="1"/>
      <w:numFmt w:val="decimal"/>
      <w:lvlText w:val="%1.%2."/>
      <w:lvlJc w:val="left"/>
      <w:pPr>
        <w:ind w:left="686" w:hanging="567"/>
      </w:pPr>
      <w:rPr>
        <w:rFonts w:hint="default" w:ascii="Cambria" w:hAnsi="Cambria" w:eastAsia="Cambria" w:cs="Cambria"/>
        <w:b/>
        <w:bCs/>
        <w:w w:val="99"/>
        <w:sz w:val="32"/>
        <w:szCs w:val="32"/>
        <w:lang w:val="zh-CN" w:eastAsia="zh-CN" w:bidi="zh-CN"/>
      </w:rPr>
    </w:lvl>
    <w:lvl w:ilvl="2" w:tentative="0">
      <w:start w:val="0"/>
      <w:numFmt w:val="bullet"/>
      <w:lvlText w:val=""/>
      <w:lvlJc w:val="left"/>
      <w:pPr>
        <w:ind w:left="960" w:hanging="420"/>
      </w:pPr>
      <w:rPr>
        <w:rFonts w:hint="default"/>
        <w:w w:val="100"/>
        <w:lang w:val="zh-CN" w:eastAsia="zh-CN" w:bidi="zh-CN"/>
      </w:rPr>
    </w:lvl>
    <w:lvl w:ilvl="3" w:tentative="0">
      <w:start w:val="0"/>
      <w:numFmt w:val="bullet"/>
      <w:lvlText w:val=""/>
      <w:lvlJc w:val="left"/>
      <w:pPr>
        <w:ind w:left="1380" w:hanging="420"/>
      </w:pPr>
      <w:rPr>
        <w:rFonts w:hint="default" w:ascii="Wingdings" w:hAnsi="Wingdings" w:eastAsia="Wingdings" w:cs="Wingdings"/>
        <w:w w:val="100"/>
        <w:sz w:val="24"/>
        <w:szCs w:val="24"/>
        <w:lang w:val="zh-CN" w:eastAsia="zh-CN" w:bidi="zh-CN"/>
      </w:rPr>
    </w:lvl>
    <w:lvl w:ilvl="4" w:tentative="0">
      <w:start w:val="0"/>
      <w:numFmt w:val="bullet"/>
      <w:lvlText w:val="•"/>
      <w:lvlJc w:val="left"/>
      <w:pPr>
        <w:ind w:left="2420" w:hanging="420"/>
      </w:pPr>
      <w:rPr>
        <w:rFonts w:hint="default"/>
        <w:lang w:val="zh-CN" w:eastAsia="zh-CN" w:bidi="zh-CN"/>
      </w:rPr>
    </w:lvl>
    <w:lvl w:ilvl="5" w:tentative="0">
      <w:start w:val="0"/>
      <w:numFmt w:val="bullet"/>
      <w:lvlText w:val="•"/>
      <w:lvlJc w:val="left"/>
      <w:pPr>
        <w:ind w:left="3461" w:hanging="420"/>
      </w:pPr>
      <w:rPr>
        <w:rFonts w:hint="default"/>
        <w:lang w:val="zh-CN" w:eastAsia="zh-CN" w:bidi="zh-CN"/>
      </w:rPr>
    </w:lvl>
    <w:lvl w:ilvl="6" w:tentative="0">
      <w:start w:val="0"/>
      <w:numFmt w:val="bullet"/>
      <w:lvlText w:val="•"/>
      <w:lvlJc w:val="left"/>
      <w:pPr>
        <w:ind w:left="4502" w:hanging="420"/>
      </w:pPr>
      <w:rPr>
        <w:rFonts w:hint="default"/>
        <w:lang w:val="zh-CN" w:eastAsia="zh-CN" w:bidi="zh-CN"/>
      </w:rPr>
    </w:lvl>
    <w:lvl w:ilvl="7" w:tentative="0">
      <w:start w:val="0"/>
      <w:numFmt w:val="bullet"/>
      <w:lvlText w:val="•"/>
      <w:lvlJc w:val="left"/>
      <w:pPr>
        <w:ind w:left="5543" w:hanging="420"/>
      </w:pPr>
      <w:rPr>
        <w:rFonts w:hint="default"/>
        <w:lang w:val="zh-CN" w:eastAsia="zh-CN" w:bidi="zh-CN"/>
      </w:rPr>
    </w:lvl>
    <w:lvl w:ilvl="8" w:tentative="0">
      <w:start w:val="0"/>
      <w:numFmt w:val="bullet"/>
      <w:lvlText w:val="•"/>
      <w:lvlJc w:val="left"/>
      <w:pPr>
        <w:ind w:left="6584" w:hanging="420"/>
      </w:pPr>
      <w:rPr>
        <w:rFonts w:hint="default"/>
        <w:lang w:val="zh-CN" w:eastAsia="zh-CN" w:bidi="zh-CN"/>
      </w:rPr>
    </w:lvl>
  </w:abstractNum>
  <w:abstractNum w:abstractNumId="5">
    <w:nsid w:val="73E7384E"/>
    <w:multiLevelType w:val="multilevel"/>
    <w:tmpl w:val="73E7384E"/>
    <w:lvl w:ilvl="0" w:tentative="0">
      <w:start w:val="1"/>
      <w:numFmt w:val="decimal"/>
      <w:lvlText w:val="%1、"/>
      <w:lvlJc w:val="left"/>
      <w:pPr>
        <w:ind w:left="1440" w:hanging="360"/>
      </w:pPr>
      <w:rPr>
        <w:rFonts w:hint="default"/>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83"/>
    <w:rsid w:val="00013A7B"/>
    <w:rsid w:val="000267AA"/>
    <w:rsid w:val="00045FDF"/>
    <w:rsid w:val="000C1073"/>
    <w:rsid w:val="000D6A84"/>
    <w:rsid w:val="000E0D0C"/>
    <w:rsid w:val="000F3D40"/>
    <w:rsid w:val="00110B18"/>
    <w:rsid w:val="00177682"/>
    <w:rsid w:val="001C1177"/>
    <w:rsid w:val="001D1C79"/>
    <w:rsid w:val="00200924"/>
    <w:rsid w:val="0025007E"/>
    <w:rsid w:val="00261069"/>
    <w:rsid w:val="002976E7"/>
    <w:rsid w:val="002E7869"/>
    <w:rsid w:val="003334DF"/>
    <w:rsid w:val="00344A87"/>
    <w:rsid w:val="00357BC6"/>
    <w:rsid w:val="00383B2A"/>
    <w:rsid w:val="00384486"/>
    <w:rsid w:val="003C470B"/>
    <w:rsid w:val="00402602"/>
    <w:rsid w:val="0042704D"/>
    <w:rsid w:val="00481385"/>
    <w:rsid w:val="00486526"/>
    <w:rsid w:val="004A2AB5"/>
    <w:rsid w:val="004D3DBD"/>
    <w:rsid w:val="004E6C66"/>
    <w:rsid w:val="005B5D76"/>
    <w:rsid w:val="005C07BA"/>
    <w:rsid w:val="005C3A6B"/>
    <w:rsid w:val="005E2BFF"/>
    <w:rsid w:val="00603C1C"/>
    <w:rsid w:val="0061378F"/>
    <w:rsid w:val="0062141A"/>
    <w:rsid w:val="00671D02"/>
    <w:rsid w:val="00697EBF"/>
    <w:rsid w:val="006A1EA0"/>
    <w:rsid w:val="007306E2"/>
    <w:rsid w:val="00785B37"/>
    <w:rsid w:val="00794179"/>
    <w:rsid w:val="007A0D92"/>
    <w:rsid w:val="008323E0"/>
    <w:rsid w:val="008370F3"/>
    <w:rsid w:val="0087152D"/>
    <w:rsid w:val="00883B0D"/>
    <w:rsid w:val="008962B7"/>
    <w:rsid w:val="00916A0E"/>
    <w:rsid w:val="00924180"/>
    <w:rsid w:val="00944DCD"/>
    <w:rsid w:val="00957E51"/>
    <w:rsid w:val="00963623"/>
    <w:rsid w:val="009A25DA"/>
    <w:rsid w:val="009C30C4"/>
    <w:rsid w:val="009E3847"/>
    <w:rsid w:val="00A0583A"/>
    <w:rsid w:val="00A32956"/>
    <w:rsid w:val="00A52D01"/>
    <w:rsid w:val="00AB7980"/>
    <w:rsid w:val="00AC3165"/>
    <w:rsid w:val="00B26F80"/>
    <w:rsid w:val="00B31683"/>
    <w:rsid w:val="00BF59B2"/>
    <w:rsid w:val="00C04A81"/>
    <w:rsid w:val="00D139E6"/>
    <w:rsid w:val="00D31A1B"/>
    <w:rsid w:val="00D83D30"/>
    <w:rsid w:val="00DC7B2B"/>
    <w:rsid w:val="00DD1D7B"/>
    <w:rsid w:val="00E033D4"/>
    <w:rsid w:val="00E12666"/>
    <w:rsid w:val="00E202F2"/>
    <w:rsid w:val="00E81D8E"/>
    <w:rsid w:val="00EC1EE4"/>
    <w:rsid w:val="00EE3CFF"/>
    <w:rsid w:val="00F06732"/>
    <w:rsid w:val="00F0729B"/>
    <w:rsid w:val="00F301C0"/>
    <w:rsid w:val="00F338D1"/>
    <w:rsid w:val="00F4772B"/>
    <w:rsid w:val="00F73E69"/>
    <w:rsid w:val="00FE061B"/>
    <w:rsid w:val="10180628"/>
    <w:rsid w:val="111067C6"/>
    <w:rsid w:val="1E343216"/>
    <w:rsid w:val="21BE63E3"/>
    <w:rsid w:val="267079DC"/>
    <w:rsid w:val="2ADE51CF"/>
    <w:rsid w:val="2F635B17"/>
    <w:rsid w:val="3DDC1999"/>
    <w:rsid w:val="4C943C39"/>
    <w:rsid w:val="4D130D49"/>
    <w:rsid w:val="62BC6608"/>
    <w:rsid w:val="64461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21"/>
    <w:qFormat/>
    <w:uiPriority w:val="9"/>
    <w:pPr>
      <w:spacing w:before="1"/>
      <w:ind w:left="544" w:hanging="425"/>
      <w:outlineLvl w:val="0"/>
    </w:pPr>
    <w:rPr>
      <w:b/>
      <w:bCs/>
      <w:sz w:val="44"/>
      <w:szCs w:val="44"/>
    </w:rPr>
  </w:style>
  <w:style w:type="paragraph" w:styleId="3">
    <w:name w:val="heading 2"/>
    <w:basedOn w:val="1"/>
    <w:next w:val="1"/>
    <w:link w:val="22"/>
    <w:unhideWhenUsed/>
    <w:qFormat/>
    <w:uiPriority w:val="9"/>
    <w:pPr>
      <w:ind w:left="686" w:hanging="567"/>
      <w:outlineLvl w:val="1"/>
    </w:pPr>
    <w:rPr>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3"/>
    <w:qFormat/>
    <w:uiPriority w:val="1"/>
    <w:rPr>
      <w:sz w:val="24"/>
      <w:szCs w:val="24"/>
    </w:rPr>
  </w:style>
  <w:style w:type="paragraph" w:styleId="7">
    <w:name w:val="footer"/>
    <w:basedOn w:val="1"/>
    <w:link w:val="20"/>
    <w:unhideWhenUsed/>
    <w:qFormat/>
    <w:uiPriority w:val="99"/>
    <w:pPr>
      <w:tabs>
        <w:tab w:val="center" w:pos="4153"/>
        <w:tab w:val="right" w:pos="8306"/>
      </w:tabs>
      <w:snapToGrid w:val="0"/>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spacing w:before="265"/>
      <w:ind w:left="612" w:right="116" w:hanging="612"/>
    </w:pPr>
    <w:rPr>
      <w:sz w:val="28"/>
      <w:szCs w:val="28"/>
    </w:rPr>
  </w:style>
  <w:style w:type="paragraph" w:styleId="10">
    <w:name w:val="toc 2"/>
    <w:basedOn w:val="1"/>
    <w:next w:val="1"/>
    <w:qFormat/>
    <w:uiPriority w:val="39"/>
    <w:pPr>
      <w:spacing w:before="265"/>
      <w:ind w:left="1245" w:hanging="706"/>
    </w:pPr>
    <w:rPr>
      <w:sz w:val="28"/>
      <w:szCs w:val="28"/>
    </w:rPr>
  </w:style>
  <w:style w:type="paragraph" w:styleId="11">
    <w:name w:val="Title"/>
    <w:basedOn w:val="1"/>
    <w:qFormat/>
    <w:uiPriority w:val="10"/>
    <w:pPr>
      <w:spacing w:before="33"/>
      <w:ind w:left="407" w:right="512"/>
      <w:jc w:val="center"/>
    </w:pPr>
    <w:rPr>
      <w:rFonts w:ascii="黑体" w:hAnsi="黑体" w:eastAsia="黑体" w:cs="黑体"/>
      <w:b/>
      <w:bCs/>
      <w:sz w:val="48"/>
      <w:szCs w:val="4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ind w:left="960" w:hanging="420"/>
    </w:pPr>
  </w:style>
  <w:style w:type="paragraph" w:customStyle="1" w:styleId="18">
    <w:name w:val="Table Paragraph"/>
    <w:basedOn w:val="1"/>
    <w:qFormat/>
    <w:uiPriority w:val="1"/>
  </w:style>
  <w:style w:type="character" w:customStyle="1" w:styleId="19">
    <w:name w:val="页眉 Char"/>
    <w:basedOn w:val="14"/>
    <w:link w:val="8"/>
    <w:qFormat/>
    <w:uiPriority w:val="99"/>
    <w:rPr>
      <w:rFonts w:ascii="宋体" w:hAnsi="宋体" w:eastAsia="宋体" w:cs="宋体"/>
      <w:sz w:val="18"/>
      <w:szCs w:val="18"/>
      <w:lang w:val="zh-CN" w:eastAsia="zh-CN" w:bidi="zh-CN"/>
    </w:rPr>
  </w:style>
  <w:style w:type="character" w:customStyle="1" w:styleId="20">
    <w:name w:val="页脚 Char"/>
    <w:basedOn w:val="14"/>
    <w:link w:val="7"/>
    <w:qFormat/>
    <w:uiPriority w:val="99"/>
    <w:rPr>
      <w:rFonts w:ascii="宋体" w:hAnsi="宋体" w:eastAsia="宋体" w:cs="宋体"/>
      <w:sz w:val="18"/>
      <w:szCs w:val="18"/>
      <w:lang w:val="zh-CN" w:eastAsia="zh-CN" w:bidi="zh-CN"/>
    </w:rPr>
  </w:style>
  <w:style w:type="character" w:customStyle="1" w:styleId="21">
    <w:name w:val="标题 1 Char"/>
    <w:basedOn w:val="14"/>
    <w:link w:val="2"/>
    <w:qFormat/>
    <w:uiPriority w:val="9"/>
    <w:rPr>
      <w:rFonts w:ascii="宋体" w:hAnsi="宋体" w:eastAsia="宋体" w:cs="宋体"/>
      <w:b/>
      <w:bCs/>
      <w:sz w:val="44"/>
      <w:szCs w:val="44"/>
      <w:lang w:val="zh-CN" w:eastAsia="zh-CN" w:bidi="zh-CN"/>
    </w:rPr>
  </w:style>
  <w:style w:type="character" w:customStyle="1" w:styleId="22">
    <w:name w:val="标题 2 Char"/>
    <w:basedOn w:val="14"/>
    <w:link w:val="3"/>
    <w:qFormat/>
    <w:uiPriority w:val="9"/>
    <w:rPr>
      <w:rFonts w:ascii="宋体" w:hAnsi="宋体" w:eastAsia="宋体" w:cs="宋体"/>
      <w:b/>
      <w:bCs/>
      <w:sz w:val="32"/>
      <w:szCs w:val="32"/>
      <w:lang w:val="zh-CN" w:eastAsia="zh-CN" w:bidi="zh-CN"/>
    </w:rPr>
  </w:style>
  <w:style w:type="character" w:customStyle="1" w:styleId="23">
    <w:name w:val="正文文本 Char"/>
    <w:basedOn w:val="14"/>
    <w:link w:val="6"/>
    <w:qFormat/>
    <w:uiPriority w:val="1"/>
    <w:rPr>
      <w:rFonts w:ascii="宋体" w:hAnsi="宋体" w:eastAsia="宋体" w:cs="宋体"/>
      <w:sz w:val="24"/>
      <w:szCs w:val="24"/>
      <w:lang w:val="zh-CN" w:eastAsia="zh-CN" w:bidi="zh-CN"/>
    </w:rPr>
  </w:style>
  <w:style w:type="character" w:customStyle="1" w:styleId="24">
    <w:name w:val="标题 3 Char"/>
    <w:basedOn w:val="14"/>
    <w:link w:val="4"/>
    <w:qFormat/>
    <w:uiPriority w:val="9"/>
    <w:rPr>
      <w:rFonts w:ascii="宋体" w:hAnsi="宋体" w:eastAsia="宋体" w:cs="宋体"/>
      <w:b/>
      <w:bCs/>
      <w:sz w:val="32"/>
      <w:szCs w:val="32"/>
      <w:lang w:val="zh-CN" w:eastAsia="zh-CN" w:bidi="zh-CN"/>
    </w:rPr>
  </w:style>
  <w:style w:type="character" w:customStyle="1" w:styleId="25">
    <w:name w:val="标题 4 Char"/>
    <w:basedOn w:val="14"/>
    <w:link w:val="5"/>
    <w:qFormat/>
    <w:uiPriority w:val="9"/>
    <w:rPr>
      <w:rFonts w:asciiTheme="majorHAnsi" w:hAnsiTheme="majorHAnsi" w:eastAsiaTheme="majorEastAsia" w:cstheme="majorBidi"/>
      <w:b/>
      <w:bCs/>
      <w:sz w:val="28"/>
      <w:szCs w:val="28"/>
      <w:lang w:val="zh-CN" w:eastAsia="zh-CN" w:bidi="zh-CN"/>
    </w:rPr>
  </w:style>
  <w:style w:type="character" w:customStyle="1" w:styleId="2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3B872-2886-4889-89EA-6180F681EA2D}">
  <ds:schemaRefs/>
</ds:datastoreItem>
</file>

<file path=docProps/app.xml><?xml version="1.0" encoding="utf-8"?>
<Properties xmlns="http://schemas.openxmlformats.org/officeDocument/2006/extended-properties" xmlns:vt="http://schemas.openxmlformats.org/officeDocument/2006/docPropsVTypes">
  <Template>Normal.dotm</Template>
  <Pages>1</Pages>
  <Words>672</Words>
  <Characters>3831</Characters>
  <Lines>31</Lines>
  <Paragraphs>8</Paragraphs>
  <TotalTime>218</TotalTime>
  <ScaleCrop>false</ScaleCrop>
  <LinksUpToDate>false</LinksUpToDate>
  <CharactersWithSpaces>4495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2021-07-20T12:44:00Z</dcterms:created>
  <dc:creator>微软用户</dc:creator>
  <cp:lastModifiedBy>精神病患者 ！</cp:lastModifiedBy>
  <cp:lastPrinted>2021-07-24T05:04:00Z</cp:lastPrinted>
  <dcterms:modified xsi:type="dcterms:W3CDTF">2022-01-06T10:19:24Z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WPS 文字</vt:lpwstr>
  </property>
  <property fmtid="{D5CDD505-2E9C-101B-9397-08002B2CF9AE}" pid="4" name="LastSaved">
    <vt:filetime>2021-07-20T00:00:00Z</vt:filetime>
  </property>
  <property fmtid="{D5CDD505-2E9C-101B-9397-08002B2CF9AE}" pid="5" name="KSOProductBuildVer">
    <vt:lpwstr>2052-11.1.0.11115</vt:lpwstr>
  </property>
  <property fmtid="{D5CDD505-2E9C-101B-9397-08002B2CF9AE}" pid="6" name="ICV">
    <vt:lpwstr>C1573D5FCEF845238EA0CE7FFC736F88</vt:lpwstr>
  </property>
</Properties>
</file>