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云南省医用耗材集中采购交易系统</w:t>
      </w:r>
    </w:p>
    <w:p>
      <w:pPr>
        <w:jc w:val="cente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耗材带量采购</w:t>
      </w:r>
    </w:p>
    <w:p>
      <w:pPr>
        <w:jc w:val="cente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承诺采购量上报</w:t>
      </w: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操作指引</w:t>
      </w: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color w:val="000000" w:themeColor="text1"/>
          <w:sz w:val="52"/>
          <w:szCs w:val="52"/>
          <w:lang w:eastAsia="zh-Hans"/>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2023年04月</w:t>
      </w:r>
    </w:p>
    <w:p>
      <w:pPr>
        <w:pStyle w:val="12"/>
        <w:tabs>
          <w:tab w:val="right" w:leader="dot" w:pos="15704"/>
        </w:tabs>
        <w:jc w:val="center"/>
        <w:rPr>
          <w:rFonts w:hint="eastAsia" w:ascii="微软雅黑" w:hAnsi="微软雅黑" w:eastAsia="微软雅黑" w:cs="微软雅黑"/>
          <w:color w:val="000000" w:themeColor="text1"/>
          <w:sz w:val="52"/>
          <w:szCs w:val="52"/>
          <w:lang w:eastAsia="zh-Hans"/>
          <w14:textFill>
            <w14:solidFill>
              <w14:schemeClr w14:val="tx1"/>
            </w14:solidFill>
          </w14:textFill>
        </w:rPr>
      </w:pPr>
      <w:r>
        <w:rPr>
          <w:rFonts w:hint="eastAsia" w:ascii="微软雅黑" w:hAnsi="微软雅黑" w:eastAsia="微软雅黑" w:cs="微软雅黑"/>
          <w:color w:val="000000" w:themeColor="text1"/>
          <w:sz w:val="52"/>
          <w:szCs w:val="52"/>
          <w:lang w:eastAsia="zh-Hans"/>
          <w14:textFill>
            <w14:solidFill>
              <w14:schemeClr w14:val="tx1"/>
            </w14:solidFill>
          </w14:textFill>
        </w:rPr>
        <w:t>目录</w:t>
      </w:r>
    </w:p>
    <w:p>
      <w:pPr>
        <w:rPr>
          <w:lang w:eastAsia="zh-Hans"/>
        </w:rPr>
      </w:pPr>
    </w:p>
    <w:sdt>
      <w:sdtPr>
        <w:rPr>
          <w:rFonts w:hint="eastAsia" w:ascii="微软雅黑" w:hAnsi="微软雅黑" w:eastAsia="微软雅黑" w:cs="微软雅黑"/>
          <w:kern w:val="2"/>
          <w:sz w:val="24"/>
          <w:szCs w:val="24"/>
          <w:lang w:val="en-US" w:eastAsia="zh-CN" w:bidi="ar-SA"/>
        </w:rPr>
        <w:id w:val="147468154"/>
        <w15:color w:val="DBDBDB"/>
        <w:docPartObj>
          <w:docPartGallery w:val="Table of Contents"/>
          <w:docPartUnique/>
        </w:docPartObj>
      </w:sdtPr>
      <w:sdtEndPr>
        <w:rPr>
          <w:rFonts w:hint="eastAsia" w:ascii="微软雅黑" w:hAnsi="微软雅黑" w:eastAsia="微软雅黑" w:cs="微软雅黑"/>
          <w:color w:val="000000" w:themeColor="text1"/>
          <w:kern w:val="2"/>
          <w:sz w:val="24"/>
          <w:szCs w:val="24"/>
          <w:lang w:val="en-US" w:eastAsia="zh-Hans"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24"/>
              <w:szCs w:val="24"/>
            </w:rPr>
          </w:pPr>
        </w:p>
        <w:p>
          <w:pPr>
            <w:pStyle w:val="12"/>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color w:val="000000" w:themeColor="text1"/>
              <w:sz w:val="21"/>
              <w:szCs w:val="21"/>
              <w:lang w:eastAsia="zh-Hans"/>
              <w14:textFill>
                <w14:solidFill>
                  <w14:schemeClr w14:val="tx1"/>
                </w14:solidFill>
              </w14:textFill>
            </w:rPr>
            <w:instrText xml:space="preserve">TOC \o "1-3" \h \u </w:instrText>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separate"/>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_Toc13266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bCs w:val="0"/>
              <w:sz w:val="21"/>
              <w:szCs w:val="21"/>
              <w:lang w:val="en-US" w:eastAsia="zh-CN"/>
            </w:rPr>
            <w:t>一、</w:t>
          </w:r>
          <w:r>
            <w:rPr>
              <w:rFonts w:hint="eastAsia" w:ascii="微软雅黑" w:hAnsi="微软雅黑" w:eastAsia="微软雅黑" w:cs="微软雅黑"/>
              <w:bCs w:val="0"/>
              <w:sz w:val="21"/>
              <w:szCs w:val="21"/>
            </w:rPr>
            <w:t>一般问题解答</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_Toc13266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3</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_Toc31226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 xml:space="preserve"> 关于这本手册</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_Toc31226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3</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_Toc6377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eastAsia="zh-Hans"/>
            </w:rPr>
            <w:t>三</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使用须知</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_Toc6377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4</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_Toc12696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eastAsia="zh-Hans"/>
            </w:rPr>
            <w:t>3.</w:t>
          </w:r>
          <w:r>
            <w:rPr>
              <w:rFonts w:hint="eastAsia" w:ascii="微软雅黑" w:hAnsi="微软雅黑" w:eastAsia="微软雅黑" w:cs="微软雅黑"/>
              <w:sz w:val="21"/>
              <w:szCs w:val="21"/>
            </w:rPr>
            <w:t>1操作系统相关需求</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_Toc12696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4</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_Toc27142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eastAsia="zh-Hans"/>
            </w:rPr>
            <w:t>3.</w:t>
          </w:r>
          <w:r>
            <w:rPr>
              <w:rFonts w:hint="eastAsia" w:ascii="微软雅黑" w:hAnsi="微软雅黑" w:eastAsia="微软雅黑" w:cs="微软雅黑"/>
              <w:sz w:val="21"/>
              <w:szCs w:val="21"/>
            </w:rPr>
            <w:t>2平台相关操作须知</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_Toc27142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4</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_Toc20601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eastAsia="zh-Hans"/>
            </w:rPr>
            <w:t>四</w:t>
          </w:r>
          <w:r>
            <w:rPr>
              <w:rFonts w:hint="eastAsia" w:ascii="微软雅黑" w:hAnsi="微软雅黑" w:eastAsia="微软雅黑" w:cs="微软雅黑"/>
              <w:sz w:val="21"/>
              <w:szCs w:val="21"/>
            </w:rPr>
            <w:t xml:space="preserve"> </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登录与退出系统</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_Toc20601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5</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_Toc26717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rPr>
            <w:t>4.1</w:t>
          </w:r>
          <w:r>
            <w:rPr>
              <w:rFonts w:hint="eastAsia" w:ascii="微软雅黑" w:hAnsi="微软雅黑" w:eastAsia="微软雅黑" w:cs="微软雅黑"/>
              <w:sz w:val="21"/>
              <w:szCs w:val="21"/>
              <w:lang w:val="en-US" w:eastAsia="zh-CN"/>
            </w:rPr>
            <w:t>登录</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_Toc26717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5</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_Toc4012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rPr>
            <w:t>4.</w:t>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退出</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_Toc4012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7</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_Toc6845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bCs w:val="0"/>
              <w:sz w:val="21"/>
              <w:szCs w:val="21"/>
              <w:lang w:val="en-US" w:eastAsia="zh-CN"/>
            </w:rPr>
            <w:t xml:space="preserve">第一章  </w:t>
          </w:r>
          <w:r>
            <w:rPr>
              <w:rFonts w:hint="eastAsia" w:ascii="微软雅黑" w:hAnsi="微软雅黑" w:eastAsia="微软雅黑" w:cs="微软雅黑"/>
              <w:sz w:val="21"/>
              <w:szCs w:val="21"/>
              <w:lang w:val="en-US" w:eastAsia="zh-CN"/>
            </w:rPr>
            <w:t>耗材带量采购(医疗机构-承诺采购量上报)</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_Toc6845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8</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_Toc19644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lang w:eastAsia="zh-Hans"/>
            </w:rPr>
            <w:t>.</w:t>
          </w:r>
          <w:r>
            <w:rPr>
              <w:rFonts w:hint="eastAsia" w:ascii="微软雅黑" w:hAnsi="微软雅黑" w:eastAsia="微软雅黑" w:cs="微软雅黑"/>
              <w:sz w:val="21"/>
              <w:szCs w:val="21"/>
              <w:lang w:val="en-US" w:eastAsia="zh-CN"/>
            </w:rPr>
            <w:t>1采购计划管理</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_Toc19644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8</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_Toc31389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lang w:eastAsia="zh-Hans"/>
            </w:rPr>
            <w:t>.</w:t>
          </w:r>
          <w:r>
            <w:rPr>
              <w:rFonts w:hint="eastAsia" w:ascii="微软雅黑" w:hAnsi="微软雅黑" w:eastAsia="微软雅黑" w:cs="微软雅黑"/>
              <w:sz w:val="21"/>
              <w:szCs w:val="21"/>
              <w:lang w:val="en-US" w:eastAsia="zh-CN"/>
            </w:rPr>
            <w:t>2承诺采购量上报</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_Toc31389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8</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_Toc11536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rPr>
            <w:t>第</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 xml:space="preserve">章 </w:t>
          </w:r>
          <w:r>
            <w:rPr>
              <w:rFonts w:hint="eastAsia" w:ascii="微软雅黑" w:hAnsi="微软雅黑" w:eastAsia="微软雅黑" w:cs="微软雅黑"/>
              <w:sz w:val="21"/>
              <w:szCs w:val="21"/>
              <w:lang w:val="en-US" w:eastAsia="zh-CN"/>
            </w:rPr>
            <w:t>耗材带量采购(投标企业-承诺采购量确认)</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_Toc11536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10</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_Toc2661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lang w:eastAsia="zh-Hans"/>
            </w:rPr>
            <w:t>.</w:t>
          </w:r>
          <w:r>
            <w:rPr>
              <w:rFonts w:hint="eastAsia" w:ascii="微软雅黑" w:hAnsi="微软雅黑" w:eastAsia="微软雅黑" w:cs="微软雅黑"/>
              <w:sz w:val="21"/>
              <w:szCs w:val="21"/>
              <w:lang w:val="en-US" w:eastAsia="zh-CN"/>
            </w:rPr>
            <w:t>1采购量管理</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_Toc2661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10</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_Toc22919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lang w:eastAsia="zh-Hans"/>
            </w:rPr>
            <w:t>.</w:t>
          </w:r>
          <w:r>
            <w:rPr>
              <w:rFonts w:hint="eastAsia" w:ascii="微软雅黑" w:hAnsi="微软雅黑" w:eastAsia="微软雅黑" w:cs="微软雅黑"/>
              <w:sz w:val="21"/>
              <w:szCs w:val="21"/>
              <w:lang w:val="en-US" w:eastAsia="zh-CN"/>
            </w:rPr>
            <w:t>2承诺采购量确认</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_Toc22919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10</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_Toc10030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val="en-US" w:eastAsia="zh-CN"/>
            </w:rPr>
            <w:t>第三章 耗材带量采购(中心端-承诺采购量查看)</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_Toc10030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12</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_Toc31685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val="en-US" w:eastAsia="zh-CN"/>
            </w:rPr>
            <w:t>3</w:t>
          </w:r>
          <w:r>
            <w:rPr>
              <w:rFonts w:hint="eastAsia" w:ascii="微软雅黑" w:hAnsi="微软雅黑" w:eastAsia="微软雅黑" w:cs="微软雅黑"/>
              <w:sz w:val="21"/>
              <w:szCs w:val="21"/>
              <w:lang w:eastAsia="zh-Hans"/>
            </w:rPr>
            <w:t>.</w:t>
          </w:r>
          <w:r>
            <w:rPr>
              <w:rFonts w:hint="eastAsia" w:ascii="微软雅黑" w:hAnsi="微软雅黑" w:eastAsia="微软雅黑" w:cs="微软雅黑"/>
              <w:sz w:val="21"/>
              <w:szCs w:val="21"/>
              <w:lang w:val="en-US" w:eastAsia="zh-CN"/>
            </w:rPr>
            <w:t>1采购计划管理</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_Toc31685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12</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_Toc14668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lang w:val="en-US" w:eastAsia="zh-CN"/>
            </w:rPr>
            <w:t>3</w:t>
          </w:r>
          <w:r>
            <w:rPr>
              <w:rFonts w:hint="eastAsia" w:ascii="微软雅黑" w:hAnsi="微软雅黑" w:eastAsia="微软雅黑" w:cs="微软雅黑"/>
              <w:sz w:val="21"/>
              <w:szCs w:val="21"/>
              <w:lang w:eastAsia="zh-Hans"/>
            </w:rPr>
            <w:t>.</w:t>
          </w:r>
          <w:r>
            <w:rPr>
              <w:rFonts w:hint="eastAsia" w:ascii="微软雅黑" w:hAnsi="微软雅黑" w:eastAsia="微软雅黑" w:cs="微软雅黑"/>
              <w:sz w:val="21"/>
              <w:szCs w:val="21"/>
              <w:lang w:val="en-US" w:eastAsia="zh-CN"/>
            </w:rPr>
            <w:t>2（地州医保局）直属医院报量审核</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_Toc14668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12</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rPr>
              <w:rFonts w:hint="eastAsia" w:ascii="微软雅黑" w:hAnsi="微软雅黑" w:eastAsia="微软雅黑" w:cs="微软雅黑"/>
              <w:color w:val="000000" w:themeColor="text1"/>
              <w:kern w:val="2"/>
              <w:sz w:val="24"/>
              <w:szCs w:val="24"/>
              <w:lang w:val="en-US" w:eastAsia="zh-Hans" w:bidi="ar-SA"/>
              <w14:textFill>
                <w14:solidFill>
                  <w14:schemeClr w14:val="tx1"/>
                </w14:solidFill>
              </w14:textFill>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sdtContent>
    </w:sdt>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pStyle w:val="2"/>
        <w:rPr>
          <w:rFonts w:ascii="微软雅黑" w:hAnsi="微软雅黑" w:eastAsia="微软雅黑" w:cs="微软雅黑"/>
          <w:b/>
          <w:bCs w:val="0"/>
          <w:color w:val="000000" w:themeColor="text1"/>
          <w:sz w:val="28"/>
          <w:szCs w:val="28"/>
          <w14:textFill>
            <w14:solidFill>
              <w14:schemeClr w14:val="tx1"/>
            </w14:solidFill>
          </w14:textFill>
        </w:rPr>
      </w:pPr>
      <w:bookmarkStart w:id="0" w:name="_Toc60225402"/>
      <w:bookmarkStart w:id="1" w:name="_Toc13266"/>
      <w:r>
        <w:rPr>
          <w:rFonts w:hint="eastAsia" w:ascii="微软雅黑" w:hAnsi="微软雅黑" w:eastAsia="微软雅黑" w:cs="微软雅黑"/>
          <w:b/>
          <w:bCs w:val="0"/>
          <w:color w:val="000000" w:themeColor="text1"/>
          <w:sz w:val="28"/>
          <w:szCs w:val="28"/>
          <w:lang w:val="en-US" w:eastAsia="zh-CN"/>
          <w14:textFill>
            <w14:solidFill>
              <w14:schemeClr w14:val="tx1"/>
            </w14:solidFill>
          </w14:textFill>
        </w:rPr>
        <w:t>一、</w:t>
      </w:r>
      <w:r>
        <w:rPr>
          <w:rFonts w:hint="eastAsia" w:ascii="微软雅黑" w:hAnsi="微软雅黑" w:eastAsia="微软雅黑" w:cs="微软雅黑"/>
          <w:b/>
          <w:bCs w:val="0"/>
          <w:color w:val="000000" w:themeColor="text1"/>
          <w:sz w:val="28"/>
          <w:szCs w:val="28"/>
          <w14:textFill>
            <w14:solidFill>
              <w14:schemeClr w14:val="tx1"/>
            </w14:solidFill>
          </w14:textFill>
        </w:rPr>
        <w:t>一般问题解答</w:t>
      </w:r>
      <w:bookmarkEnd w:id="0"/>
      <w:bookmarkEnd w:id="1"/>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采购平台的登录网址是什么？</w:t>
      </w:r>
    </w:p>
    <w:p>
      <w:p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答：①登录</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采购平台门户网站http://www.ynyyzb.com.cn/</w:t>
      </w:r>
    </w:p>
    <w:p>
      <w:pPr>
        <w:ind w:firstLine="420" w:firstLineChars="20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②点击</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云南省药品集中采购平台首页下方系统</w:t>
      </w:r>
      <w:r>
        <w:rPr>
          <w:rFonts w:hint="eastAsia" w:ascii="微软雅黑" w:hAnsi="微软雅黑" w:eastAsia="微软雅黑" w:cs="微软雅黑"/>
          <w:color w:val="000000" w:themeColor="text1"/>
          <w:szCs w:val="21"/>
          <w14:textFill>
            <w14:solidFill>
              <w14:schemeClr w14:val="tx1"/>
            </w14:solidFill>
          </w14:textFill>
        </w:rPr>
        <w:t>入口</w:t>
      </w:r>
    </w:p>
    <w:p>
      <w:r>
        <w:drawing>
          <wp:inline distT="0" distB="0" distL="114300" distR="114300">
            <wp:extent cx="6480175" cy="3479165"/>
            <wp:effectExtent l="0" t="0" r="15875" b="698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4"/>
                    <a:stretch>
                      <a:fillRect/>
                    </a:stretch>
                  </pic:blipFill>
                  <pic:spPr>
                    <a:xfrm>
                      <a:off x="0" y="0"/>
                      <a:ext cx="6480175" cy="3479165"/>
                    </a:xfrm>
                    <a:prstGeom prst="rect">
                      <a:avLst/>
                    </a:prstGeom>
                    <a:noFill/>
                    <a:ln>
                      <a:noFill/>
                    </a:ln>
                  </pic:spPr>
                </pic:pic>
              </a:graphicData>
            </a:graphic>
          </wp:inline>
        </w:drawing>
      </w:r>
    </w:p>
    <w:p/>
    <w:p/>
    <w:p>
      <w:pPr>
        <w:rPr>
          <w:rFonts w:hint="eastAsia"/>
          <w:lang w:eastAsia="zh-CN"/>
        </w:rPr>
      </w:pPr>
    </w:p>
    <w:p>
      <w:pPr>
        <w:pStyle w:val="2"/>
        <w:rPr>
          <w:rFonts w:ascii="微软雅黑" w:hAnsi="微软雅黑" w:eastAsia="微软雅黑" w:cs="微软雅黑"/>
          <w:color w:val="000000" w:themeColor="text1"/>
          <w:sz w:val="28"/>
          <w:szCs w:val="28"/>
          <w14:textFill>
            <w14:solidFill>
              <w14:schemeClr w14:val="tx1"/>
            </w14:solidFill>
          </w14:textFill>
        </w:rPr>
      </w:pPr>
      <w:bookmarkStart w:id="2" w:name="_Toc555684830_WPSOffice_Level1"/>
      <w:bookmarkStart w:id="3" w:name="_Toc60225403"/>
      <w:bookmarkStart w:id="4" w:name="_Toc31226"/>
      <w:r>
        <w:rPr>
          <w:rFonts w:hint="eastAsia" w:ascii="微软雅黑" w:hAnsi="微软雅黑" w:eastAsia="微软雅黑" w:cs="微软雅黑"/>
          <w:color w:val="000000" w:themeColor="text1"/>
          <w:sz w:val="28"/>
          <w:szCs w:val="28"/>
          <w:lang w:val="en-US" w:eastAsia="zh-CN"/>
          <w14:textFill>
            <w14:solidFill>
              <w14:schemeClr w14:val="tx1"/>
            </w14:solidFill>
          </w14:textFill>
        </w:rPr>
        <w:t>二、</w:t>
      </w:r>
      <w:r>
        <w:rPr>
          <w:rFonts w:hint="eastAsia" w:ascii="微软雅黑" w:hAnsi="微软雅黑" w:eastAsia="微软雅黑" w:cs="微软雅黑"/>
          <w:color w:val="000000" w:themeColor="text1"/>
          <w:sz w:val="28"/>
          <w:szCs w:val="28"/>
          <w14:textFill>
            <w14:solidFill>
              <w14:schemeClr w14:val="tx1"/>
            </w14:solidFill>
          </w14:textFill>
        </w:rPr>
        <w:t xml:space="preserve"> 关于这本手册</w:t>
      </w:r>
      <w:bookmarkEnd w:id="2"/>
      <w:bookmarkEnd w:id="3"/>
      <w:bookmarkEnd w:id="4"/>
    </w:p>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采购平台时所需了解的信息。手册中所出现的用户名称及相关数据均为系统测试数据，不作为任何正式的使用依据。</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ab/>
      </w:r>
      <w:r>
        <w:rPr>
          <w:rFonts w:hint="eastAsia" w:ascii="微软雅黑" w:hAnsi="微软雅黑" w:eastAsia="微软雅黑" w:cs="微软雅黑"/>
          <w:color w:val="000000" w:themeColor="text1"/>
          <w:szCs w:val="21"/>
          <w14:textFill>
            <w14:solidFill>
              <w14:schemeClr w14:val="tx1"/>
            </w14:solidFill>
          </w14:textFill>
        </w:rPr>
        <w:t>该用户手册所对应的主体为</w:t>
      </w:r>
      <w:r>
        <w:rPr>
          <w:rFonts w:hint="eastAsia" w:ascii="微软雅黑" w:hAnsi="微软雅黑" w:eastAsia="微软雅黑" w:cs="微软雅黑"/>
          <w:color w:val="000000" w:themeColor="text1"/>
          <w:szCs w:val="21"/>
          <w:lang w:val="en-US" w:eastAsia="zh-CN"/>
          <w14:textFill>
            <w14:solidFill>
              <w14:schemeClr w14:val="tx1"/>
            </w14:solidFill>
          </w14:textFill>
        </w:rPr>
        <w:t>医疗机构端和生产企业端</w:t>
      </w:r>
      <w:r>
        <w:rPr>
          <w:rFonts w:hint="eastAsia" w:ascii="微软雅黑" w:hAnsi="微软雅黑" w:eastAsia="微软雅黑" w:cs="微软雅黑"/>
          <w:color w:val="000000" w:themeColor="text1"/>
          <w:szCs w:val="21"/>
          <w14:textFill>
            <w14:solidFill>
              <w14:schemeClr w14:val="tx1"/>
            </w14:solidFill>
          </w14:textFill>
        </w:rPr>
        <w:t>，介绍</w:t>
      </w:r>
      <w:r>
        <w:rPr>
          <w:rFonts w:hint="eastAsia" w:ascii="微软雅黑" w:hAnsi="微软雅黑" w:eastAsia="微软雅黑" w:cs="微软雅黑"/>
          <w:color w:val="000000" w:themeColor="text1"/>
          <w:szCs w:val="21"/>
          <w:lang w:val="en-US" w:eastAsia="zh-CN"/>
          <w14:textFill>
            <w14:solidFill>
              <w14:schemeClr w14:val="tx1"/>
            </w14:solidFill>
          </w14:textFill>
        </w:rPr>
        <w:t>耗材带量采购-承诺采购量上报</w:t>
      </w:r>
      <w:r>
        <w:rPr>
          <w:rFonts w:hint="eastAsia" w:ascii="微软雅黑" w:hAnsi="微软雅黑" w:eastAsia="微软雅黑" w:cs="微软雅黑"/>
          <w:color w:val="000000" w:themeColor="text1"/>
          <w:szCs w:val="21"/>
          <w:lang w:eastAsia="zh-Hans"/>
          <w14:textFill>
            <w14:solidFill>
              <w14:schemeClr w14:val="tx1"/>
            </w14:solidFill>
          </w14:textFill>
        </w:rPr>
        <w:t>模块的</w:t>
      </w:r>
      <w:r>
        <w:rPr>
          <w:rFonts w:hint="eastAsia" w:ascii="微软雅黑" w:hAnsi="微软雅黑" w:eastAsia="微软雅黑" w:cs="微软雅黑"/>
          <w:color w:val="000000" w:themeColor="text1"/>
          <w:szCs w:val="21"/>
          <w14:textFill>
            <w14:solidFill>
              <w14:schemeClr w14:val="tx1"/>
            </w14:solidFill>
          </w14:textFill>
        </w:rPr>
        <w:t>相关操作。</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sz w:val="28"/>
          <w:szCs w:val="28"/>
          <w14:textFill>
            <w14:solidFill>
              <w14:schemeClr w14:val="tx1"/>
            </w14:solidFill>
          </w14:textFill>
        </w:rPr>
      </w:pPr>
      <w:bookmarkStart w:id="5" w:name="_Toc6377"/>
      <w:bookmarkStart w:id="6" w:name="_Toc1158289534"/>
      <w:bookmarkStart w:id="7" w:name="_Toc2136040654_WPSOffice_Level1"/>
      <w:bookmarkStart w:id="8" w:name="_Toc60225404"/>
      <w:r>
        <w:rPr>
          <w:rFonts w:hint="eastAsia" w:ascii="微软雅黑" w:hAnsi="微软雅黑" w:eastAsia="微软雅黑" w:cs="微软雅黑"/>
          <w:color w:val="000000" w:themeColor="text1"/>
          <w:sz w:val="28"/>
          <w:szCs w:val="28"/>
          <w:lang w:eastAsia="zh-Hans"/>
          <w14:textFill>
            <w14:solidFill>
              <w14:schemeClr w14:val="tx1"/>
            </w14:solidFill>
          </w14:textFill>
        </w:rPr>
        <w:t>三</w:t>
      </w:r>
      <w:r>
        <w:rPr>
          <w:rFonts w:hint="eastAsia" w:ascii="微软雅黑" w:hAnsi="微软雅黑" w:eastAsia="微软雅黑" w:cs="微软雅黑"/>
          <w:color w:val="000000" w:themeColor="text1"/>
          <w:sz w:val="28"/>
          <w:szCs w:val="28"/>
          <w:lang w:eastAsia="zh-CN"/>
          <w14:textFill>
            <w14:solidFill>
              <w14:schemeClr w14:val="tx1"/>
            </w14:solidFill>
          </w14:textFill>
        </w:rPr>
        <w:t>、</w:t>
      </w:r>
      <w:r>
        <w:rPr>
          <w:rFonts w:hint="eastAsia" w:ascii="微软雅黑" w:hAnsi="微软雅黑" w:eastAsia="微软雅黑" w:cs="微软雅黑"/>
          <w:color w:val="000000" w:themeColor="text1"/>
          <w:sz w:val="28"/>
          <w:szCs w:val="28"/>
          <w14:textFill>
            <w14:solidFill>
              <w14:schemeClr w14:val="tx1"/>
            </w14:solidFill>
          </w14:textFill>
        </w:rPr>
        <w:t>使用须知</w:t>
      </w:r>
      <w:bookmarkEnd w:id="5"/>
      <w:bookmarkEnd w:id="6"/>
      <w:bookmarkEnd w:id="7"/>
      <w:bookmarkEnd w:id="8"/>
    </w:p>
    <w:p>
      <w:pPr>
        <w:pStyle w:val="3"/>
        <w:rPr>
          <w:rFonts w:ascii="微软雅黑" w:hAnsi="微软雅黑" w:eastAsia="微软雅黑" w:cs="微软雅黑"/>
          <w:color w:val="000000" w:themeColor="text1"/>
          <w14:textFill>
            <w14:solidFill>
              <w14:schemeClr w14:val="tx1"/>
            </w14:solidFill>
          </w14:textFill>
        </w:rPr>
      </w:pPr>
      <w:bookmarkStart w:id="9" w:name="_Toc60225405"/>
      <w:bookmarkStart w:id="10" w:name="_Toc432937883"/>
      <w:bookmarkStart w:id="11" w:name="_Toc12696"/>
      <w:bookmarkStart w:id="12" w:name="_Toc951144879_WPSOffice_Level2"/>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1操作系统相关需求</w:t>
      </w:r>
      <w:bookmarkEnd w:id="9"/>
      <w:bookmarkEnd w:id="10"/>
      <w:bookmarkEnd w:id="11"/>
      <w:bookmarkEnd w:id="12"/>
    </w:p>
    <w:tbl>
      <w:tblPr>
        <w:tblStyle w:val="17"/>
        <w:tblW w:w="9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2364"/>
        <w:gridCol w:w="6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序号</w:t>
            </w:r>
          </w:p>
        </w:tc>
        <w:tc>
          <w:tcPr>
            <w:tcW w:w="2364"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硬件或软件</w:t>
            </w:r>
          </w:p>
        </w:tc>
        <w:tc>
          <w:tcPr>
            <w:tcW w:w="6177"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客户端最低配置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CPU</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1.70GHz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2</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 xml:space="preserve">内存 </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3</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显示器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1024*768/256色分辨率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4</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网络</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1M带宽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5</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浏览器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谷歌</w:t>
            </w:r>
            <w:r>
              <w:rPr>
                <w:rFonts w:hint="eastAsia" w:ascii="微软雅黑" w:hAnsi="微软雅黑" w:eastAsia="微软雅黑" w:cs="微软雅黑"/>
                <w:color w:val="000000" w:themeColor="text1"/>
                <w:sz w:val="21"/>
                <w:szCs w:val="21"/>
                <w:lang w:val="en-US" w:eastAsia="zh-CN"/>
                <w14:textFill>
                  <w14:solidFill>
                    <w14:schemeClr w14:val="tx1"/>
                  </w14:solidFill>
                </w14:textFill>
              </w:rPr>
              <w:t>浏览器</w:t>
            </w:r>
            <w:r>
              <w:rPr>
                <w:rFonts w:hint="eastAsia" w:ascii="微软雅黑" w:hAnsi="微软雅黑" w:eastAsia="微软雅黑" w:cs="微软雅黑"/>
                <w:color w:val="000000" w:themeColor="text1"/>
                <w:sz w:val="21"/>
                <w:szCs w:val="21"/>
                <w14:textFill>
                  <w14:solidFill>
                    <w14:schemeClr w14:val="tx1"/>
                  </w14:solidFill>
                </w14:textFill>
              </w:rPr>
              <w:t>、360安全浏览器（极速模式）、火狐浏览器</w:t>
            </w:r>
          </w:p>
        </w:tc>
      </w:tr>
    </w:tbl>
    <w:p>
      <w:pPr>
        <w:pStyle w:val="3"/>
        <w:rPr>
          <w:rFonts w:ascii="微软雅黑" w:hAnsi="微软雅黑" w:eastAsia="微软雅黑" w:cs="微软雅黑"/>
          <w:color w:val="000000" w:themeColor="text1"/>
          <w14:textFill>
            <w14:solidFill>
              <w14:schemeClr w14:val="tx1"/>
            </w14:solidFill>
          </w14:textFill>
        </w:rPr>
      </w:pPr>
      <w:bookmarkStart w:id="13" w:name="_Toc27142"/>
      <w:bookmarkStart w:id="14" w:name="_Toc23713085_WPSOffice_Level2"/>
      <w:bookmarkStart w:id="15" w:name="_Toc712403545"/>
      <w:bookmarkStart w:id="16" w:name="_Toc60225406"/>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2平台相关操作须知</w:t>
      </w:r>
      <w:bookmarkEnd w:id="13"/>
      <w:bookmarkEnd w:id="14"/>
      <w:bookmarkEnd w:id="15"/>
      <w:bookmarkEnd w:id="16"/>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bookmarkStart w:id="17" w:name="_Toc1210240107_WPSOffice_Level1"/>
      <w:bookmarkStart w:id="18" w:name="_Toc1145048790"/>
      <w:bookmarkStart w:id="19" w:name="_Toc60225407"/>
      <w:r>
        <w:rPr>
          <w:rFonts w:hint="eastAsia" w:ascii="微软雅黑" w:hAnsi="微软雅黑" w:eastAsia="微软雅黑" w:cs="微软雅黑"/>
          <w:color w:val="000000" w:themeColor="text1"/>
          <w:szCs w:val="21"/>
          <w14:textFill>
            <w14:solidFill>
              <w14:schemeClr w14:val="tx1"/>
            </w14:solidFill>
          </w14:textFill>
        </w:rPr>
        <w:t>1、用户首次登陆平台，必须尽快修改账号登录密码</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14:textFill>
            <w14:solidFill>
              <w14:schemeClr w14:val="tx1"/>
            </w14:solidFill>
          </w14:textFill>
        </w:rPr>
        <w:t>以免造成信息泄露。</w:t>
      </w:r>
    </w:p>
    <w:p>
      <w:pPr>
        <w:widowControl/>
        <w:spacing w:line="360" w:lineRule="auto"/>
        <w:ind w:firstLine="420" w:firstLineChars="200"/>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2、技术支持联系电话： 0871-65379183、0871-65165512</w:t>
      </w:r>
      <w:r>
        <w:rPr>
          <w:rFonts w:hint="eastAsia" w:ascii="微软雅黑" w:hAnsi="微软雅黑" w:eastAsia="微软雅黑" w:cs="微软雅黑"/>
          <w:color w:val="000000" w:themeColor="text1"/>
          <w:szCs w:val="21"/>
          <w:lang w:eastAsia="zh-CN"/>
          <w14:textFill>
            <w14:solidFill>
              <w14:schemeClr w14:val="tx1"/>
            </w14:solidFill>
          </w14:textFill>
        </w:rPr>
        <w:t>、0871-68322972</w:t>
      </w:r>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3、360安全浏览器用户请调整为极速模式，如下图：</w:t>
      </w:r>
    </w:p>
    <w:p>
      <w:pPr>
        <w:widowControl/>
        <w:spacing w:line="360" w:lineRule="auto"/>
        <w:ind w:firstLine="420" w:firstLineChars="200"/>
        <w:jc w:val="left"/>
      </w:pPr>
      <w:r>
        <w:drawing>
          <wp:inline distT="0" distB="0" distL="114300" distR="114300">
            <wp:extent cx="6473825" cy="1561465"/>
            <wp:effectExtent l="0" t="0" r="3175" b="63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5"/>
                    <a:stretch>
                      <a:fillRect/>
                    </a:stretch>
                  </pic:blipFill>
                  <pic:spPr>
                    <a:xfrm>
                      <a:off x="0" y="0"/>
                      <a:ext cx="6473825" cy="1561465"/>
                    </a:xfrm>
                    <a:prstGeom prst="rect">
                      <a:avLst/>
                    </a:prstGeom>
                    <a:noFill/>
                    <a:ln>
                      <a:noFill/>
                    </a:ln>
                  </pic:spPr>
                </pic:pic>
              </a:graphicData>
            </a:graphic>
          </wp:inline>
        </w:drawing>
      </w:r>
    </w:p>
    <w:p>
      <w:pPr>
        <w:widowControl/>
        <w:spacing w:line="360" w:lineRule="auto"/>
        <w:ind w:firstLine="420" w:firstLineChars="200"/>
        <w:jc w:val="left"/>
      </w:pPr>
    </w:p>
    <w:p>
      <w:pPr>
        <w:widowControl/>
        <w:spacing w:line="360" w:lineRule="auto"/>
        <w:ind w:firstLine="420" w:firstLineChars="200"/>
        <w:jc w:val="left"/>
      </w:pPr>
    </w:p>
    <w:p>
      <w:pPr>
        <w:widowControl/>
        <w:spacing w:line="360" w:lineRule="auto"/>
        <w:ind w:firstLine="420" w:firstLineChars="200"/>
        <w:jc w:val="left"/>
      </w:pPr>
    </w:p>
    <w:p>
      <w:pPr>
        <w:widowControl/>
        <w:spacing w:line="360" w:lineRule="auto"/>
        <w:ind w:firstLine="420" w:firstLineChars="200"/>
        <w:jc w:val="left"/>
        <w:rPr>
          <w:rFonts w:hint="eastAsia"/>
        </w:rPr>
      </w:pPr>
    </w:p>
    <w:p>
      <w:pPr>
        <w:pStyle w:val="2"/>
        <w:rPr>
          <w:rFonts w:ascii="微软雅黑" w:hAnsi="微软雅黑" w:eastAsia="微软雅黑" w:cs="微软雅黑"/>
          <w:color w:val="000000" w:themeColor="text1"/>
          <w:sz w:val="28"/>
          <w:szCs w:val="28"/>
          <w14:textFill>
            <w14:solidFill>
              <w14:schemeClr w14:val="tx1"/>
            </w14:solidFill>
          </w14:textFill>
        </w:rPr>
      </w:pPr>
      <w:bookmarkStart w:id="20" w:name="_Toc20601"/>
      <w:r>
        <w:rPr>
          <w:rFonts w:hint="eastAsia" w:ascii="微软雅黑" w:hAnsi="微软雅黑" w:eastAsia="微软雅黑" w:cs="微软雅黑"/>
          <w:color w:val="000000" w:themeColor="text1"/>
          <w:sz w:val="28"/>
          <w:szCs w:val="28"/>
          <w:lang w:eastAsia="zh-Hans"/>
          <w14:textFill>
            <w14:solidFill>
              <w14:schemeClr w14:val="tx1"/>
            </w14:solidFill>
          </w14:textFill>
        </w:rPr>
        <w:t>四</w:t>
      </w:r>
      <w:r>
        <w:rPr>
          <w:rFonts w:hint="eastAsia" w:ascii="微软雅黑" w:hAnsi="微软雅黑" w:eastAsia="微软雅黑" w:cs="微软雅黑"/>
          <w:color w:val="000000" w:themeColor="text1"/>
          <w:sz w:val="28"/>
          <w:szCs w:val="28"/>
          <w14:textFill>
            <w14:solidFill>
              <w14:schemeClr w14:val="tx1"/>
            </w14:solidFill>
          </w14:textFill>
        </w:rPr>
        <w:t xml:space="preserve"> </w:t>
      </w:r>
      <w:r>
        <w:rPr>
          <w:rFonts w:hint="eastAsia" w:ascii="微软雅黑" w:hAnsi="微软雅黑" w:eastAsia="微软雅黑" w:cs="微软雅黑"/>
          <w:color w:val="000000" w:themeColor="text1"/>
          <w:sz w:val="28"/>
          <w:szCs w:val="28"/>
          <w:lang w:eastAsia="zh-CN"/>
          <w14:textFill>
            <w14:solidFill>
              <w14:schemeClr w14:val="tx1"/>
            </w14:solidFill>
          </w14:textFill>
        </w:rPr>
        <w:t>、</w:t>
      </w:r>
      <w:r>
        <w:rPr>
          <w:rFonts w:hint="eastAsia" w:ascii="微软雅黑" w:hAnsi="微软雅黑" w:eastAsia="微软雅黑" w:cs="微软雅黑"/>
          <w:color w:val="000000" w:themeColor="text1"/>
          <w:sz w:val="28"/>
          <w:szCs w:val="28"/>
          <w14:textFill>
            <w14:solidFill>
              <w14:schemeClr w14:val="tx1"/>
            </w14:solidFill>
          </w14:textFill>
        </w:rPr>
        <w:t>登录与退出系统</w:t>
      </w:r>
      <w:bookmarkEnd w:id="17"/>
      <w:bookmarkEnd w:id="18"/>
      <w:bookmarkEnd w:id="19"/>
      <w:bookmarkEnd w:id="20"/>
    </w:p>
    <w:p>
      <w:pPr>
        <w:pStyle w:val="3"/>
        <w:rPr>
          <w:rFonts w:hint="eastAsia" w:ascii="微软雅黑" w:hAnsi="微软雅黑" w:eastAsia="微软雅黑" w:cs="微软雅黑"/>
          <w:color w:val="000000" w:themeColor="text1"/>
          <w:sz w:val="24"/>
          <w:szCs w:val="24"/>
          <w:lang w:val="en-US" w:eastAsia="zh-CN"/>
          <w14:textFill>
            <w14:solidFill>
              <w14:schemeClr w14:val="tx1"/>
            </w14:solidFill>
          </w14:textFill>
        </w:rPr>
      </w:pPr>
      <w:bookmarkStart w:id="21" w:name="_Toc1687857612_WPSOffice_Level2"/>
      <w:bookmarkStart w:id="22" w:name="_Toc1234052763"/>
      <w:bookmarkStart w:id="23" w:name="_Toc60225408"/>
      <w:bookmarkStart w:id="24" w:name="_Toc16428"/>
      <w:bookmarkStart w:id="25" w:name="_Toc26717"/>
      <w:bookmarkStart w:id="26" w:name="_Toc13585"/>
      <w:bookmarkStart w:id="27" w:name="_Toc782466583"/>
      <w:bookmarkStart w:id="28" w:name="_Toc194005821_WPSOffice_Level2"/>
      <w:bookmarkStart w:id="29" w:name="_Toc60225413"/>
      <w:r>
        <w:rPr>
          <w:rFonts w:hint="eastAsia" w:ascii="微软雅黑" w:hAnsi="微软雅黑" w:eastAsia="微软雅黑" w:cs="微软雅黑"/>
          <w:color w:val="000000" w:themeColor="text1"/>
          <w:sz w:val="24"/>
          <w:szCs w:val="24"/>
          <w14:textFill>
            <w14:solidFill>
              <w14:schemeClr w14:val="tx1"/>
            </w14:solidFill>
          </w14:textFill>
        </w:rPr>
        <w:t>4.1</w:t>
      </w:r>
      <w:bookmarkEnd w:id="21"/>
      <w:bookmarkEnd w:id="22"/>
      <w:bookmarkEnd w:id="23"/>
      <w:bookmarkEnd w:id="24"/>
      <w:r>
        <w:rPr>
          <w:rFonts w:hint="eastAsia" w:ascii="微软雅黑" w:hAnsi="微软雅黑" w:eastAsia="微软雅黑" w:cs="微软雅黑"/>
          <w:color w:val="000000" w:themeColor="text1"/>
          <w:sz w:val="24"/>
          <w:szCs w:val="24"/>
          <w:lang w:val="en-US" w:eastAsia="zh-CN"/>
          <w14:textFill>
            <w14:solidFill>
              <w14:schemeClr w14:val="tx1"/>
            </w14:solidFill>
          </w14:textFill>
        </w:rPr>
        <w:t>登录</w:t>
      </w:r>
      <w:bookmarkEnd w:id="25"/>
      <w:bookmarkEnd w:id="26"/>
    </w:p>
    <w:p>
      <w:pPr>
        <w:widowControl/>
        <w:spacing w:line="360" w:lineRule="auto"/>
        <w:jc w:val="left"/>
        <w:rPr>
          <w:rFonts w:hint="default"/>
          <w:lang w:val="en-US" w:eastAsia="zh-CN"/>
        </w:rPr>
      </w:pPr>
      <w:r>
        <w:rPr>
          <w:rFonts w:hint="eastAsia" w:ascii="微软雅黑" w:hAnsi="微软雅黑" w:eastAsia="微软雅黑" w:cs="微软雅黑"/>
          <w:color w:val="000000" w:themeColor="text1"/>
          <w:szCs w:val="21"/>
          <w14:textFill>
            <w14:solidFill>
              <w14:schemeClr w14:val="tx1"/>
            </w14:solidFill>
          </w14:textFill>
        </w:rPr>
        <w:t>用户可在浏览器地址栏输入http://www.ynyyzb.com.cn/home.html</w:t>
      </w:r>
      <w:r>
        <w:rPr>
          <w:rFonts w:hint="eastAsia" w:ascii="微软雅黑" w:hAnsi="微软雅黑" w:eastAsia="微软雅黑" w:cs="微软雅黑"/>
          <w:color w:val="000000" w:themeColor="text1"/>
          <w:szCs w:val="21"/>
          <w:lang w:val="en-US" w:eastAsia="zh-CN"/>
          <w14:textFill>
            <w14:solidFill>
              <w14:schemeClr w14:val="tx1"/>
            </w14:solidFill>
          </w14:textFill>
        </w:rPr>
        <w:t>进入云南省药品集中采购平台首页</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lang w:val="en-US" w:eastAsia="zh-CN"/>
          <w14:textFill>
            <w14:solidFill>
              <w14:schemeClr w14:val="tx1"/>
            </w14:solidFill>
          </w14:textFill>
        </w:rPr>
        <w:t>点击系统入口-医用耗材集中采购交易系统V4.0，</w:t>
      </w:r>
      <w:r>
        <w:rPr>
          <w:rFonts w:hint="eastAsia" w:ascii="微软雅黑" w:hAnsi="微软雅黑" w:eastAsia="微软雅黑" w:cs="微软雅黑"/>
          <w:color w:val="000000" w:themeColor="text1"/>
          <w:szCs w:val="21"/>
          <w:lang w:eastAsia="zh-CN"/>
          <w14:textFill>
            <w14:solidFill>
              <w14:schemeClr w14:val="tx1"/>
            </w14:solidFill>
          </w14:textFill>
        </w:rPr>
        <w:t>输入用户名及密码，点击【登录】按钮登录。</w:t>
      </w:r>
    </w:p>
    <w:p>
      <w:pPr>
        <w:jc w:val="both"/>
      </w:pPr>
      <w:r>
        <w:drawing>
          <wp:inline distT="0" distB="0" distL="114300" distR="114300">
            <wp:extent cx="6473190" cy="3406140"/>
            <wp:effectExtent l="0" t="0" r="381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6"/>
                    <a:stretch>
                      <a:fillRect/>
                    </a:stretch>
                  </pic:blipFill>
                  <pic:spPr>
                    <a:xfrm>
                      <a:off x="0" y="0"/>
                      <a:ext cx="6473190" cy="3406140"/>
                    </a:xfrm>
                    <a:prstGeom prst="rect">
                      <a:avLst/>
                    </a:prstGeom>
                    <a:noFill/>
                    <a:ln>
                      <a:noFill/>
                    </a:ln>
                  </pic:spPr>
                </pic:pic>
              </a:graphicData>
            </a:graphic>
          </wp:inline>
        </w:drawing>
      </w:r>
    </w:p>
    <w:p>
      <w:pPr>
        <w:jc w:val="both"/>
      </w:pPr>
      <w:r>
        <w:drawing>
          <wp:inline distT="0" distB="0" distL="114300" distR="114300">
            <wp:extent cx="6470015" cy="3467100"/>
            <wp:effectExtent l="0" t="0" r="698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6470015" cy="3467100"/>
                    </a:xfrm>
                    <a:prstGeom prst="rect">
                      <a:avLst/>
                    </a:prstGeom>
                    <a:noFill/>
                    <a:ln>
                      <a:noFill/>
                    </a:ln>
                  </pic:spPr>
                </pic:pic>
              </a:graphicData>
            </a:graphic>
          </wp:inline>
        </w:drawing>
      </w:r>
    </w:p>
    <w:p>
      <w:pPr>
        <w:jc w:val="both"/>
        <w:rPr>
          <w:rFonts w:hint="eastAsia"/>
        </w:rPr>
      </w:pPr>
      <w:r>
        <w:drawing>
          <wp:inline distT="0" distB="0" distL="114300" distR="114300">
            <wp:extent cx="6480175" cy="2783840"/>
            <wp:effectExtent l="0" t="0" r="15875" b="165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rcRect t="7871"/>
                    <a:stretch>
                      <a:fillRect/>
                    </a:stretch>
                  </pic:blipFill>
                  <pic:spPr>
                    <a:xfrm>
                      <a:off x="0" y="0"/>
                      <a:ext cx="6480175" cy="2783840"/>
                    </a:xfrm>
                    <a:prstGeom prst="rect">
                      <a:avLst/>
                    </a:prstGeom>
                    <a:noFill/>
                    <a:ln>
                      <a:noFill/>
                    </a:ln>
                  </pic:spPr>
                </pic:pic>
              </a:graphicData>
            </a:graphic>
          </wp:inline>
        </w:drawing>
      </w:r>
    </w:p>
    <w:bookmarkEnd w:id="27"/>
    <w:bookmarkEnd w:id="28"/>
    <w:bookmarkEnd w:id="29"/>
    <w:p>
      <w:pPr>
        <w:widowControl/>
        <w:spacing w:line="360" w:lineRule="auto"/>
        <w:jc w:val="left"/>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注意：</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如果用户登录</w:t>
      </w:r>
      <w:r>
        <w:rPr>
          <w:rFonts w:hint="eastAsia" w:ascii="微软雅黑" w:hAnsi="微软雅黑" w:eastAsia="微软雅黑" w:cs="微软雅黑"/>
          <w:color w:val="000000" w:themeColor="text1"/>
          <w:szCs w:val="21"/>
          <w:lang w:val="en-US" w:eastAsia="zh-CN"/>
          <w14:textFill>
            <w14:solidFill>
              <w14:schemeClr w14:val="tx1"/>
            </w14:solidFill>
          </w14:textFill>
        </w:rPr>
        <w:t>提示登录</w:t>
      </w:r>
      <w:r>
        <w:rPr>
          <w:rFonts w:hint="eastAsia" w:ascii="微软雅黑" w:hAnsi="微软雅黑" w:eastAsia="微软雅黑" w:cs="微软雅黑"/>
          <w:color w:val="000000" w:themeColor="text1"/>
          <w:szCs w:val="21"/>
          <w14:textFill>
            <w14:solidFill>
              <w14:schemeClr w14:val="tx1"/>
            </w14:solidFill>
          </w14:textFill>
        </w:rPr>
        <w:t>失败，请查看登录失败原因，一般有以下几种情况：</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用户名不存在。用户需仔细检查输入的用户名，是否有空格等其它特殊字符，如检查无误仍提示用户名不存在，请按平台首页办事指南办理账号。</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密码不正确。用户需仔细检查输入的密码，密码区分大小写，如检查无误仍提示密码不正确，</w:t>
      </w:r>
      <w:r>
        <w:rPr>
          <w:rFonts w:hint="eastAsia" w:ascii="微软雅黑" w:hAnsi="微软雅黑" w:eastAsia="微软雅黑" w:cs="微软雅黑"/>
          <w:color w:val="000000" w:themeColor="text1"/>
          <w:szCs w:val="21"/>
          <w:lang w:val="en-US" w:eastAsia="zh-CN"/>
          <w14:textFill>
            <w14:solidFill>
              <w14:schemeClr w14:val="tx1"/>
            </w14:solidFill>
          </w14:textFill>
        </w:rPr>
        <w:t>点击登录按钮下方【在线重置密码】按钮输入用户账号，系统内已预留的联系人手机号，短信验证码进行密码重置；</w:t>
      </w:r>
      <w:r>
        <w:rPr>
          <w:rFonts w:hint="eastAsia" w:ascii="微软雅黑" w:hAnsi="微软雅黑" w:eastAsia="微软雅黑" w:cs="微软雅黑"/>
          <w:color w:val="FF0000"/>
          <w:szCs w:val="21"/>
          <w:lang w:val="en-US" w:eastAsia="zh-CN"/>
        </w:rPr>
        <w:t>如果用户账号或联系人手机号遗失，请按平台首页网站办事指南（（1. 云南省药品及高值医用耗材阳光采购交易系统账号找回及密码重置办理须知））办理。</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验证码不正确。再次刷新刷新验证码，填写正确的验证码。</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账号已停用。该登录账号已被停用，如需启用，请按平台首页办事指南申请启用。</w:t>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登录成功，进入系统主页面，如下图：</w:t>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drawing>
          <wp:inline distT="0" distB="0" distL="114300" distR="114300">
            <wp:extent cx="6475730" cy="2539365"/>
            <wp:effectExtent l="0" t="0" r="1270" b="13335"/>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pic:cNvPicPr>
                  </pic:nvPicPr>
                  <pic:blipFill>
                    <a:blip r:embed="rId9"/>
                    <a:stretch>
                      <a:fillRect/>
                    </a:stretch>
                  </pic:blipFill>
                  <pic:spPr>
                    <a:xfrm>
                      <a:off x="0" y="0"/>
                      <a:ext cx="6475730" cy="2539365"/>
                    </a:xfrm>
                    <a:prstGeom prst="rect">
                      <a:avLst/>
                    </a:prstGeom>
                    <a:noFill/>
                    <a:ln>
                      <a:noFill/>
                    </a:ln>
                  </pic:spPr>
                </pic:pic>
              </a:graphicData>
            </a:graphic>
          </wp:inline>
        </w:drawing>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点击【</w:t>
      </w:r>
      <w:r>
        <w:rPr>
          <w:rFonts w:hint="eastAsia" w:ascii="微软雅黑" w:hAnsi="微软雅黑" w:eastAsia="微软雅黑" w:cs="微软雅黑"/>
          <w:color w:val="000000" w:themeColor="text1"/>
          <w:szCs w:val="21"/>
          <w:lang w:val="en-US" w:eastAsia="zh-CN"/>
          <w14:textFill>
            <w14:solidFill>
              <w14:schemeClr w14:val="tx1"/>
            </w14:solidFill>
          </w14:textFill>
        </w:rPr>
        <w:t>耗材</w:t>
      </w:r>
      <w:r>
        <w:rPr>
          <w:rFonts w:hint="eastAsia" w:ascii="微软雅黑" w:hAnsi="微软雅黑" w:eastAsia="微软雅黑" w:cs="微软雅黑"/>
          <w:color w:val="000000" w:themeColor="text1"/>
          <w:szCs w:val="21"/>
          <w:lang w:eastAsia="zh-CN"/>
          <w14:textFill>
            <w14:solidFill>
              <w14:schemeClr w14:val="tx1"/>
            </w14:solidFill>
          </w14:textFill>
        </w:rPr>
        <w:t>带量采购】进入</w:t>
      </w:r>
      <w:r>
        <w:rPr>
          <w:rFonts w:hint="eastAsia" w:ascii="微软雅黑" w:hAnsi="微软雅黑" w:eastAsia="微软雅黑" w:cs="微软雅黑"/>
          <w:color w:val="000000" w:themeColor="text1"/>
          <w:szCs w:val="21"/>
          <w:lang w:val="en-US" w:eastAsia="zh-CN"/>
          <w14:textFill>
            <w14:solidFill>
              <w14:schemeClr w14:val="tx1"/>
            </w14:solidFill>
          </w14:textFill>
        </w:rPr>
        <w:t>耗材</w:t>
      </w:r>
      <w:r>
        <w:rPr>
          <w:rFonts w:hint="eastAsia" w:ascii="微软雅黑" w:hAnsi="微软雅黑" w:eastAsia="微软雅黑" w:cs="微软雅黑"/>
          <w:color w:val="000000" w:themeColor="text1"/>
          <w:szCs w:val="21"/>
          <w:lang w:eastAsia="zh-CN"/>
          <w14:textFill>
            <w14:solidFill>
              <w14:schemeClr w14:val="tx1"/>
            </w14:solidFill>
          </w14:textFill>
        </w:rPr>
        <w:t>带量采购子系统，如下图：</w:t>
      </w:r>
    </w:p>
    <w:p>
      <w:pPr>
        <w:jc w:val="center"/>
      </w:pPr>
      <w:r>
        <w:drawing>
          <wp:inline distT="0" distB="0" distL="114300" distR="114300">
            <wp:extent cx="6473825" cy="3107690"/>
            <wp:effectExtent l="0" t="0" r="3175" b="16510"/>
            <wp:docPr id="1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pic:cNvPicPr>
                      <a:picLocks noChangeAspect="1"/>
                    </pic:cNvPicPr>
                  </pic:nvPicPr>
                  <pic:blipFill>
                    <a:blip r:embed="rId10"/>
                    <a:stretch>
                      <a:fillRect/>
                    </a:stretch>
                  </pic:blipFill>
                  <pic:spPr>
                    <a:xfrm>
                      <a:off x="0" y="0"/>
                      <a:ext cx="6473825" cy="3107690"/>
                    </a:xfrm>
                    <a:prstGeom prst="rect">
                      <a:avLst/>
                    </a:prstGeom>
                    <a:noFill/>
                    <a:ln>
                      <a:noFill/>
                    </a:ln>
                  </pic:spPr>
                </pic:pic>
              </a:graphicData>
            </a:graphic>
          </wp:inline>
        </w:drawing>
      </w:r>
    </w:p>
    <w:p>
      <w:pPr>
        <w:pStyle w:val="4"/>
        <w:rPr>
          <w:rFonts w:ascii="微软雅黑" w:hAnsi="微软雅黑" w:cs="微软雅黑"/>
          <w:color w:val="000000" w:themeColor="text1"/>
          <w:sz w:val="24"/>
          <w:szCs w:val="24"/>
          <w14:textFill>
            <w14:solidFill>
              <w14:schemeClr w14:val="tx1"/>
            </w14:solidFill>
          </w14:textFill>
        </w:rPr>
      </w:pPr>
      <w:bookmarkStart w:id="30" w:name="_Toc60225418"/>
      <w:bookmarkStart w:id="31" w:name="_Toc1248201317_WPSOffice_Level3"/>
      <w:bookmarkStart w:id="32" w:name="_Toc15507"/>
      <w:bookmarkStart w:id="33" w:name="_Toc4012"/>
      <w:bookmarkStart w:id="34" w:name="_Toc1339516986"/>
      <w:bookmarkStart w:id="35" w:name="_Toc27379"/>
      <w:r>
        <w:rPr>
          <w:rFonts w:hint="eastAsia" w:ascii="微软雅黑" w:hAnsi="微软雅黑" w:cs="微软雅黑"/>
          <w:color w:val="000000" w:themeColor="text1"/>
          <w:sz w:val="24"/>
          <w:szCs w:val="24"/>
          <w14:textFill>
            <w14:solidFill>
              <w14:schemeClr w14:val="tx1"/>
            </w14:solidFill>
          </w14:textFill>
        </w:rPr>
        <w:t>4.</w:t>
      </w:r>
      <w:r>
        <w:rPr>
          <w:rFonts w:hint="eastAsia" w:ascii="微软雅黑" w:hAnsi="微软雅黑" w:cs="微软雅黑"/>
          <w:color w:val="000000" w:themeColor="text1"/>
          <w:sz w:val="24"/>
          <w:szCs w:val="24"/>
          <w:lang w:val="en-US" w:eastAsia="zh-CN"/>
          <w14:textFill>
            <w14:solidFill>
              <w14:schemeClr w14:val="tx1"/>
            </w14:solidFill>
          </w14:textFill>
        </w:rPr>
        <w:t>2</w:t>
      </w:r>
      <w:r>
        <w:rPr>
          <w:rFonts w:hint="eastAsia" w:ascii="微软雅黑" w:hAnsi="微软雅黑" w:cs="微软雅黑"/>
          <w:color w:val="000000" w:themeColor="text1"/>
          <w:sz w:val="24"/>
          <w:szCs w:val="24"/>
          <w14:textFill>
            <w14:solidFill>
              <w14:schemeClr w14:val="tx1"/>
            </w14:solidFill>
          </w14:textFill>
        </w:rPr>
        <w:t>退出</w:t>
      </w:r>
      <w:bookmarkEnd w:id="30"/>
      <w:bookmarkEnd w:id="31"/>
      <w:bookmarkEnd w:id="32"/>
      <w:bookmarkEnd w:id="33"/>
      <w:bookmarkEnd w:id="34"/>
      <w:bookmarkEnd w:id="35"/>
    </w:p>
    <w:p>
      <w:pPr>
        <w:pStyle w:val="26"/>
        <w:ind w:left="0" w:leftChars="0" w:firstLine="0" w:firstLineChars="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点击下图页面右上角的【退出】按钮，退出当前系统，退出操作完成。</w:t>
      </w:r>
    </w:p>
    <w:p>
      <w:pPr>
        <w:pStyle w:val="26"/>
        <w:ind w:left="0" w:leftChars="0" w:firstLine="0" w:firstLineChars="0"/>
        <w:rPr>
          <w:rFonts w:hint="eastAsia"/>
          <w:lang w:val="en-US" w:eastAsia="zh-CN"/>
        </w:rPr>
      </w:pPr>
    </w:p>
    <w:p>
      <w:pPr>
        <w:pStyle w:val="26"/>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点击【操作帮助】按钮，</w:t>
      </w:r>
      <w:r>
        <w:rPr>
          <w:rFonts w:hint="eastAsia" w:ascii="微软雅黑" w:hAnsi="微软雅黑" w:eastAsia="微软雅黑" w:cs="微软雅黑"/>
          <w:color w:val="000000" w:themeColor="text1"/>
          <w:szCs w:val="21"/>
          <w:lang w:val="en-US" w:eastAsia="zh-CN"/>
          <w14:textFill>
            <w14:solidFill>
              <w14:schemeClr w14:val="tx1"/>
            </w14:solidFill>
          </w14:textFill>
        </w:rPr>
        <w:t>可以</w:t>
      </w:r>
      <w:r>
        <w:rPr>
          <w:rFonts w:hint="eastAsia" w:ascii="微软雅黑" w:hAnsi="微软雅黑" w:eastAsia="微软雅黑" w:cs="微软雅黑"/>
          <w:color w:val="000000" w:themeColor="text1"/>
          <w:szCs w:val="21"/>
          <w:lang w:eastAsia="zh-Hans"/>
          <w14:textFill>
            <w14:solidFill>
              <w14:schemeClr w14:val="tx1"/>
            </w14:solidFill>
          </w14:textFill>
        </w:rPr>
        <w:t>下载</w:t>
      </w:r>
      <w:r>
        <w:rPr>
          <w:rFonts w:hint="eastAsia" w:ascii="微软雅黑" w:hAnsi="微软雅黑" w:eastAsia="微软雅黑" w:cs="微软雅黑"/>
          <w:color w:val="000000" w:themeColor="text1"/>
          <w:szCs w:val="21"/>
          <w:lang w:val="en-US" w:eastAsia="zh-CN"/>
          <w14:textFill>
            <w14:solidFill>
              <w14:schemeClr w14:val="tx1"/>
            </w14:solidFill>
          </w14:textFill>
        </w:rPr>
        <w:t>药品集中采购各子系统</w:t>
      </w:r>
      <w:r>
        <w:rPr>
          <w:rFonts w:hint="eastAsia" w:ascii="微软雅黑" w:hAnsi="微软雅黑" w:eastAsia="微软雅黑" w:cs="微软雅黑"/>
          <w:color w:val="000000" w:themeColor="text1"/>
          <w:szCs w:val="21"/>
          <w:lang w:eastAsia="zh-Hans"/>
          <w14:textFill>
            <w14:solidFill>
              <w14:schemeClr w14:val="tx1"/>
            </w14:solidFill>
          </w14:textFill>
        </w:rPr>
        <w:t>相关操作手册、用户操作常见问题，查看联系方式等。</w:t>
      </w:r>
    </w:p>
    <w:p>
      <w:pPr>
        <w:pStyle w:val="26"/>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点击【主页】按钮，进入主页入口页面，可选择进入其它子系统。</w:t>
      </w:r>
    </w:p>
    <w:p>
      <w:pPr>
        <w:pStyle w:val="26"/>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点击【退出】按钮，退出登录，返回登录页面。</w:t>
      </w:r>
    </w:p>
    <w:p>
      <w:pPr>
        <w:jc w:val="center"/>
        <w:rPr>
          <w:rFonts w:hint="eastAsia" w:eastAsia="宋体"/>
          <w:lang w:eastAsia="zh-CN"/>
        </w:rPr>
      </w:pPr>
      <w:r>
        <w:drawing>
          <wp:inline distT="0" distB="0" distL="114300" distR="114300">
            <wp:extent cx="6468745" cy="3172460"/>
            <wp:effectExtent l="0" t="0" r="8255" b="889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11"/>
                    <a:stretch>
                      <a:fillRect/>
                    </a:stretch>
                  </pic:blipFill>
                  <pic:spPr>
                    <a:xfrm>
                      <a:off x="0" y="0"/>
                      <a:ext cx="6468745" cy="3172460"/>
                    </a:xfrm>
                    <a:prstGeom prst="rect">
                      <a:avLst/>
                    </a:prstGeom>
                    <a:noFill/>
                    <a:ln>
                      <a:noFill/>
                    </a:ln>
                  </pic:spPr>
                </pic:pic>
              </a:graphicData>
            </a:graphic>
          </wp:inline>
        </w:drawing>
      </w:r>
    </w:p>
    <w:p>
      <w:pPr>
        <w:pStyle w:val="2"/>
        <w:jc w:val="center"/>
        <w:rPr>
          <w:rFonts w:hint="eastAsia" w:ascii="微软雅黑" w:hAnsi="微软雅黑" w:eastAsia="微软雅黑" w:cs="微软雅黑"/>
          <w:color w:val="000000" w:themeColor="text1"/>
          <w:sz w:val="32"/>
          <w:szCs w:val="32"/>
          <w:lang w:val="en-US" w:eastAsia="zh-CN"/>
          <w14:textFill>
            <w14:solidFill>
              <w14:schemeClr w14:val="tx1"/>
            </w14:solidFill>
          </w14:textFill>
        </w:rPr>
      </w:pPr>
      <w:bookmarkStart w:id="36" w:name="_Toc6845"/>
      <w:bookmarkStart w:id="37" w:name="_Toc411222519_WPSOffice_Level2"/>
      <w:r>
        <w:rPr>
          <w:rFonts w:hint="eastAsia" w:ascii="微软雅黑" w:hAnsi="微软雅黑" w:eastAsia="微软雅黑" w:cs="微软雅黑"/>
          <w:b/>
          <w:bCs w:val="0"/>
          <w:color w:val="000000" w:themeColor="text1"/>
          <w:sz w:val="32"/>
          <w:szCs w:val="32"/>
          <w:lang w:val="en-US" w:eastAsia="zh-CN"/>
          <w14:textFill>
            <w14:solidFill>
              <w14:schemeClr w14:val="tx1"/>
            </w14:solidFill>
          </w14:textFill>
        </w:rPr>
        <w:t xml:space="preserve">第一章  </w:t>
      </w:r>
      <w:r>
        <w:rPr>
          <w:rFonts w:hint="eastAsia" w:ascii="微软雅黑" w:hAnsi="微软雅黑" w:eastAsia="微软雅黑" w:cs="微软雅黑"/>
          <w:color w:val="000000" w:themeColor="text1"/>
          <w:sz w:val="30"/>
          <w:szCs w:val="30"/>
          <w:lang w:val="en-US" w:eastAsia="zh-CN"/>
          <w14:textFill>
            <w14:solidFill>
              <w14:schemeClr w14:val="tx1"/>
            </w14:solidFill>
          </w14:textFill>
        </w:rPr>
        <w:t>耗材带量采购(医疗机构-承诺采购量上报)</w:t>
      </w:r>
      <w:bookmarkEnd w:id="36"/>
    </w:p>
    <w:bookmarkEnd w:id="37"/>
    <w:p>
      <w:pPr>
        <w:pStyle w:val="3"/>
        <w:rPr>
          <w:rFonts w:hint="default" w:ascii="微软雅黑" w:hAnsi="微软雅黑" w:eastAsia="微软雅黑" w:cs="微软雅黑"/>
          <w:color w:val="000000" w:themeColor="text1"/>
          <w:sz w:val="28"/>
          <w:szCs w:val="28"/>
          <w:lang w:val="en-US" w:eastAsia="zh-Hans"/>
          <w14:textFill>
            <w14:solidFill>
              <w14:schemeClr w14:val="tx1"/>
            </w14:solidFill>
          </w14:textFill>
        </w:rPr>
      </w:pPr>
      <w:bookmarkStart w:id="38" w:name="_Toc60225426"/>
      <w:bookmarkStart w:id="39" w:name="_Toc19644"/>
      <w:r>
        <w:rPr>
          <w:rFonts w:hint="eastAsia" w:ascii="微软雅黑" w:hAnsi="微软雅黑" w:eastAsia="微软雅黑" w:cs="微软雅黑"/>
          <w:color w:val="000000" w:themeColor="text1"/>
          <w:sz w:val="28"/>
          <w:szCs w:val="28"/>
          <w:lang w:val="en-US" w:eastAsia="zh-CN"/>
          <w14:textFill>
            <w14:solidFill>
              <w14:schemeClr w14:val="tx1"/>
            </w14:solidFill>
          </w14:textFill>
        </w:rPr>
        <w:t>1</w:t>
      </w:r>
      <w:r>
        <w:rPr>
          <w:rFonts w:hint="eastAsia" w:ascii="微软雅黑" w:hAnsi="微软雅黑" w:eastAsia="微软雅黑" w:cs="微软雅黑"/>
          <w:color w:val="000000" w:themeColor="text1"/>
          <w:sz w:val="28"/>
          <w:szCs w:val="28"/>
          <w:lang w:eastAsia="zh-Hans"/>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1</w:t>
      </w:r>
      <w:bookmarkEnd w:id="38"/>
      <w:r>
        <w:rPr>
          <w:rFonts w:hint="eastAsia" w:ascii="微软雅黑" w:hAnsi="微软雅黑" w:eastAsia="微软雅黑" w:cs="微软雅黑"/>
          <w:color w:val="000000" w:themeColor="text1"/>
          <w:sz w:val="28"/>
          <w:szCs w:val="28"/>
          <w:lang w:val="en-US" w:eastAsia="zh-CN"/>
          <w14:textFill>
            <w14:solidFill>
              <w14:schemeClr w14:val="tx1"/>
            </w14:solidFill>
          </w14:textFill>
        </w:rPr>
        <w:t>采购计划管理</w:t>
      </w:r>
      <w:bookmarkEnd w:id="39"/>
    </w:p>
    <w:p>
      <w:pPr>
        <w:pStyle w:val="4"/>
        <w:rPr>
          <w:rFonts w:hint="eastAsia" w:ascii="微软雅黑" w:hAnsi="微软雅黑" w:cs="微软雅黑"/>
          <w:color w:val="000000" w:themeColor="text1"/>
          <w:sz w:val="24"/>
          <w:szCs w:val="24"/>
          <w:lang w:val="en-US" w:eastAsia="zh-CN"/>
          <w14:textFill>
            <w14:solidFill>
              <w14:schemeClr w14:val="tx1"/>
            </w14:solidFill>
          </w14:textFill>
        </w:rPr>
      </w:pPr>
      <w:bookmarkStart w:id="40" w:name="_Toc60225427"/>
      <w:bookmarkStart w:id="41" w:name="_Toc31389"/>
      <w:r>
        <w:rPr>
          <w:rFonts w:hint="eastAsia" w:ascii="微软雅黑" w:hAnsi="微软雅黑" w:cs="微软雅黑"/>
          <w:color w:val="000000" w:themeColor="text1"/>
          <w:sz w:val="24"/>
          <w:szCs w:val="24"/>
          <w:lang w:val="en-US" w:eastAsia="zh-CN"/>
          <w14:textFill>
            <w14:solidFill>
              <w14:schemeClr w14:val="tx1"/>
            </w14:solidFill>
          </w14:textFill>
        </w:rPr>
        <w:t>1</w:t>
      </w:r>
      <w:r>
        <w:rPr>
          <w:rFonts w:hint="eastAsia" w:ascii="微软雅黑" w:hAnsi="微软雅黑" w:cs="微软雅黑"/>
          <w:color w:val="000000" w:themeColor="text1"/>
          <w:sz w:val="24"/>
          <w:szCs w:val="24"/>
          <w:lang w:eastAsia="zh-Hans"/>
          <w14:textFill>
            <w14:solidFill>
              <w14:schemeClr w14:val="tx1"/>
            </w14:solidFill>
          </w14:textFill>
        </w:rPr>
        <w:t>.</w:t>
      </w:r>
      <w:bookmarkEnd w:id="40"/>
      <w:r>
        <w:rPr>
          <w:rFonts w:hint="eastAsia" w:ascii="微软雅黑" w:hAnsi="微软雅黑" w:cs="微软雅黑"/>
          <w:color w:val="000000" w:themeColor="text1"/>
          <w:sz w:val="24"/>
          <w:szCs w:val="24"/>
          <w:lang w:val="en-US" w:eastAsia="zh-CN"/>
          <w14:textFill>
            <w14:solidFill>
              <w14:schemeClr w14:val="tx1"/>
            </w14:solidFill>
          </w14:textFill>
        </w:rPr>
        <w:t>2承诺采购量上报</w:t>
      </w:r>
      <w:bookmarkEnd w:id="41"/>
    </w:p>
    <w:p>
      <w:pPr>
        <w:numPr>
          <w:ilvl w:val="0"/>
          <w:numId w:val="0"/>
        </w:num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该页面展示承诺采购量上报项目列表，医疗机构可以查看上报时间范围,请及时操作,避免错过上报时间。</w:t>
      </w:r>
    </w:p>
    <w:p>
      <w:pPr>
        <w:rPr>
          <w:rFonts w:hint="eastAsia"/>
          <w:lang w:val="en-US" w:eastAsia="zh-CN"/>
        </w:rPr>
      </w:pPr>
      <w:r>
        <w:drawing>
          <wp:inline distT="0" distB="0" distL="114300" distR="114300">
            <wp:extent cx="6478270" cy="2510790"/>
            <wp:effectExtent l="0" t="0" r="17780" b="3810"/>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12"/>
                    <a:stretch>
                      <a:fillRect/>
                    </a:stretch>
                  </pic:blipFill>
                  <pic:spPr>
                    <a:xfrm>
                      <a:off x="0" y="0"/>
                      <a:ext cx="6478270" cy="2510790"/>
                    </a:xfrm>
                    <a:prstGeom prst="rect">
                      <a:avLst/>
                    </a:prstGeom>
                    <a:noFill/>
                    <a:ln>
                      <a:noFill/>
                    </a:ln>
                  </pic:spPr>
                </pic:pic>
              </a:graphicData>
            </a:graphic>
          </wp:inline>
        </w:drawing>
      </w:r>
    </w:p>
    <w:p>
      <w:pPr>
        <w:pStyle w:val="5"/>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1</w:t>
      </w:r>
      <w:r>
        <w:rPr>
          <w:rFonts w:hint="eastAsia" w:ascii="微软雅黑" w:hAnsi="微软雅黑" w:eastAsia="微软雅黑" w:cs="微软雅黑"/>
          <w:color w:val="000000" w:themeColor="text1"/>
          <w:sz w:val="24"/>
          <w:szCs w:val="24"/>
          <w:lang w:eastAsia="zh-Hans"/>
          <w14:textFill>
            <w14:solidFill>
              <w14:schemeClr w14:val="tx1"/>
            </w14:solidFill>
          </w14:textFill>
        </w:rPr>
        <w:t>.</w:t>
      </w:r>
      <w:r>
        <w:rPr>
          <w:rFonts w:hint="eastAsia" w:ascii="微软雅黑" w:hAnsi="微软雅黑" w:eastAsia="微软雅黑" w:cs="微软雅黑"/>
          <w:color w:val="000000" w:themeColor="text1"/>
          <w:sz w:val="24"/>
          <w:szCs w:val="24"/>
          <w:lang w:val="en-US" w:eastAsia="zh-CN"/>
          <w14:textFill>
            <w14:solidFill>
              <w14:schemeClr w14:val="tx1"/>
            </w14:solidFill>
          </w14:textFill>
        </w:rPr>
        <w:t>3承诺采购量上报-未上报</w:t>
      </w:r>
    </w:p>
    <w:p>
      <w:p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该页面展示承诺采购量未上报采购目录列表。</w:t>
      </w:r>
    </w:p>
    <w:p>
      <w:r>
        <w:drawing>
          <wp:inline distT="0" distB="0" distL="114300" distR="114300">
            <wp:extent cx="6462395" cy="2853690"/>
            <wp:effectExtent l="0" t="0" r="14605" b="3810"/>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pic:cNvPicPr>
                      <a:picLocks noChangeAspect="1"/>
                    </pic:cNvPicPr>
                  </pic:nvPicPr>
                  <pic:blipFill>
                    <a:blip r:embed="rId13"/>
                    <a:srcRect l="14223" t="8803"/>
                    <a:stretch>
                      <a:fillRect/>
                    </a:stretch>
                  </pic:blipFill>
                  <pic:spPr>
                    <a:xfrm>
                      <a:off x="0" y="0"/>
                      <a:ext cx="6462395" cy="2853690"/>
                    </a:xfrm>
                    <a:prstGeom prst="rect">
                      <a:avLst/>
                    </a:prstGeom>
                    <a:noFill/>
                    <a:ln>
                      <a:noFill/>
                    </a:ln>
                  </pic:spPr>
                </pic:pic>
              </a:graphicData>
            </a:graphic>
          </wp:inline>
        </w:drawing>
      </w:r>
    </w:p>
    <w:p>
      <w:pPr>
        <w:numPr>
          <w:ilvl w:val="0"/>
          <w:numId w:val="3"/>
        </w:numPr>
        <w:ind w:left="420" w:leftChars="0" w:hanging="420" w:firstLineChars="0"/>
        <w:rPr>
          <w:rFonts w:hint="eastAsia" w:ascii="微软雅黑" w:hAnsi="微软雅黑" w:eastAsia="微软雅黑" w:cs="微软雅黑"/>
          <w:b/>
          <w:bCs/>
          <w:color w:val="auto"/>
          <w:szCs w:val="21"/>
          <w:lang w:val="en-US" w:eastAsia="zh-CN"/>
        </w:rPr>
      </w:pPr>
      <w:r>
        <w:rPr>
          <w:rFonts w:hint="eastAsia" w:ascii="微软雅黑" w:hAnsi="微软雅黑" w:eastAsia="微软雅黑" w:cs="微软雅黑"/>
          <w:b/>
          <w:bCs/>
          <w:color w:val="auto"/>
          <w:szCs w:val="21"/>
          <w:lang w:val="en-US" w:eastAsia="zh-CN"/>
        </w:rPr>
        <w:t>上报承诺采购量操作步骤：</w:t>
      </w:r>
    </w:p>
    <w:p>
      <w:pPr>
        <w:numPr>
          <w:ilvl w:val="0"/>
          <w:numId w:val="4"/>
        </w:numPr>
        <w:ind w:left="425" w:leftChars="0" w:hanging="425" w:firstLineChars="0"/>
        <w:rPr>
          <w:rFonts w:hint="eastAsia" w:ascii="微软雅黑" w:hAnsi="微软雅黑" w:eastAsia="微软雅黑" w:cs="微软雅黑"/>
          <w:b w:val="0"/>
          <w:bCs w:val="0"/>
          <w:color w:val="auto"/>
          <w:szCs w:val="21"/>
          <w:lang w:val="en-US" w:eastAsia="zh-CN"/>
        </w:rPr>
      </w:pPr>
      <w:r>
        <w:rPr>
          <w:rFonts w:hint="eastAsia" w:ascii="微软雅黑" w:hAnsi="微软雅黑" w:eastAsia="微软雅黑" w:cs="微软雅黑"/>
          <w:b w:val="0"/>
          <w:bCs w:val="0"/>
          <w:color w:val="auto"/>
          <w:szCs w:val="21"/>
          <w:lang w:val="en-US" w:eastAsia="zh-CN"/>
        </w:rPr>
        <w:t>确定需要上报采购量产品的项目，点击【承诺采购量上报】按钮进入；</w:t>
      </w:r>
    </w:p>
    <w:p>
      <w:pPr>
        <w:numPr>
          <w:ilvl w:val="0"/>
          <w:numId w:val="4"/>
        </w:numPr>
        <w:ind w:left="425" w:leftChars="0" w:hanging="425" w:firstLineChars="0"/>
        <w:rPr>
          <w:rFonts w:hint="eastAsia" w:ascii="微软雅黑" w:hAnsi="微软雅黑" w:eastAsia="微软雅黑" w:cs="微软雅黑"/>
          <w:b w:val="0"/>
          <w:bCs w:val="0"/>
          <w:color w:val="auto"/>
          <w:szCs w:val="21"/>
          <w:lang w:val="en-US" w:eastAsia="zh-CN"/>
        </w:rPr>
      </w:pPr>
      <w:r>
        <w:rPr>
          <w:rFonts w:hint="eastAsia" w:ascii="微软雅黑" w:hAnsi="微软雅黑" w:eastAsia="微软雅黑" w:cs="微软雅黑"/>
          <w:b w:val="0"/>
          <w:bCs w:val="0"/>
          <w:color w:val="auto"/>
          <w:szCs w:val="21"/>
          <w:lang w:val="en-US" w:eastAsia="zh-CN"/>
        </w:rPr>
        <w:t>勾选需要上报采购量的产品（可通过查询条件筛选）；</w:t>
      </w:r>
    </w:p>
    <w:p>
      <w:pPr>
        <w:numPr>
          <w:ilvl w:val="0"/>
          <w:numId w:val="4"/>
        </w:numPr>
        <w:ind w:left="425" w:leftChars="0" w:hanging="425" w:firstLineChars="0"/>
        <w:rPr>
          <w:rFonts w:hint="eastAsia" w:ascii="微软雅黑" w:hAnsi="微软雅黑" w:eastAsia="微软雅黑" w:cs="微软雅黑"/>
          <w:b w:val="0"/>
          <w:bCs w:val="0"/>
          <w:color w:val="auto"/>
          <w:szCs w:val="21"/>
          <w:lang w:val="en-US" w:eastAsia="zh-CN"/>
        </w:rPr>
      </w:pPr>
      <w:r>
        <w:rPr>
          <w:rFonts w:hint="eastAsia" w:ascii="微软雅黑" w:hAnsi="微软雅黑" w:eastAsia="微软雅黑" w:cs="微软雅黑"/>
          <w:b w:val="0"/>
          <w:bCs w:val="0"/>
          <w:color w:val="auto"/>
          <w:szCs w:val="21"/>
          <w:lang w:val="en-US" w:eastAsia="zh-CN"/>
        </w:rPr>
        <w:t>输入上报数量（按最小制剂单位计），上报数量只能输入数字，不能为空；</w:t>
      </w:r>
    </w:p>
    <w:p>
      <w:pPr>
        <w:numPr>
          <w:ilvl w:val="0"/>
          <w:numId w:val="4"/>
        </w:numPr>
        <w:ind w:left="425" w:leftChars="0" w:hanging="425" w:firstLineChars="0"/>
        <w:rPr>
          <w:rFonts w:hint="eastAsia" w:ascii="微软雅黑" w:hAnsi="微软雅黑" w:eastAsia="微软雅黑" w:cs="微软雅黑"/>
          <w:b w:val="0"/>
          <w:bCs w:val="0"/>
          <w:color w:val="auto"/>
          <w:szCs w:val="21"/>
          <w:lang w:val="en-US" w:eastAsia="zh-CN"/>
        </w:rPr>
      </w:pPr>
      <w:r>
        <w:rPr>
          <w:rFonts w:hint="eastAsia" w:ascii="微软雅黑" w:hAnsi="微软雅黑" w:eastAsia="微软雅黑" w:cs="微软雅黑"/>
          <w:b w:val="0"/>
          <w:bCs w:val="0"/>
          <w:color w:val="auto"/>
          <w:szCs w:val="21"/>
          <w:lang w:val="en-US" w:eastAsia="zh-CN"/>
        </w:rPr>
        <w:t>点击【上报】按钮完成上报采购量。</w:t>
      </w:r>
    </w:p>
    <w:p>
      <w:pPr>
        <w:pStyle w:val="5"/>
        <w:rPr>
          <w:rFonts w:hint="eastAsia" w:ascii="微软雅黑" w:hAnsi="微软雅黑" w:eastAsia="微软雅黑" w:cs="微软雅黑"/>
          <w:sz w:val="24"/>
          <w:szCs w:val="24"/>
          <w:lang w:val="en-US" w:eastAsia="zh-CN"/>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1</w:t>
      </w:r>
      <w:r>
        <w:rPr>
          <w:rFonts w:hint="eastAsia" w:ascii="微软雅黑" w:hAnsi="微软雅黑" w:eastAsia="微软雅黑" w:cs="微软雅黑"/>
          <w:color w:val="000000" w:themeColor="text1"/>
          <w:sz w:val="24"/>
          <w:szCs w:val="24"/>
          <w:lang w:eastAsia="zh-Hans"/>
          <w14:textFill>
            <w14:solidFill>
              <w14:schemeClr w14:val="tx1"/>
            </w14:solidFill>
          </w14:textFill>
        </w:rPr>
        <w:t>.</w:t>
      </w:r>
      <w:r>
        <w:rPr>
          <w:rFonts w:hint="eastAsia" w:ascii="微软雅黑" w:hAnsi="微软雅黑" w:eastAsia="微软雅黑" w:cs="微软雅黑"/>
          <w:color w:val="000000" w:themeColor="text1"/>
          <w:sz w:val="24"/>
          <w:szCs w:val="24"/>
          <w:lang w:val="en-US" w:eastAsia="zh-CN"/>
          <w14:textFill>
            <w14:solidFill>
              <w14:schemeClr w14:val="tx1"/>
            </w14:solidFill>
          </w14:textFill>
        </w:rPr>
        <w:t>4承诺采购量上报-已上报</w:t>
      </w:r>
    </w:p>
    <w:p>
      <w:pPr>
        <w:pStyle w:val="26"/>
        <w:numPr>
          <w:ilvl w:val="0"/>
          <w:numId w:val="2"/>
        </w:numPr>
        <w:ind w:left="420" w:leftChars="0" w:hanging="420" w:firstLineChars="0"/>
        <w:rPr>
          <w:rFonts w:hint="default" w:ascii="微软雅黑" w:hAnsi="微软雅黑" w:eastAsia="微软雅黑" w:cs="微软雅黑"/>
          <w:lang w:val="en-US" w:eastAsia="zh-CN"/>
        </w:rPr>
      </w:pPr>
      <w:r>
        <w:rPr>
          <w:rFonts w:hint="eastAsia" w:ascii="微软雅黑" w:hAnsi="微软雅黑" w:eastAsia="微软雅黑" w:cs="微软雅黑"/>
          <w:color w:val="000000" w:themeColor="text1"/>
          <w:szCs w:val="21"/>
          <w:lang w:val="en-US" w:eastAsia="zh-CN"/>
          <w14:textFill>
            <w14:solidFill>
              <w14:schemeClr w14:val="tx1"/>
            </w14:solidFill>
          </w14:textFill>
        </w:rPr>
        <w:t>承诺采购量已上报列表页面：</w:t>
      </w:r>
    </w:p>
    <w:p>
      <w:pPr>
        <w:pStyle w:val="26"/>
        <w:numPr>
          <w:ilvl w:val="0"/>
          <w:numId w:val="0"/>
        </w:numPr>
        <w:ind w:leftChars="0"/>
      </w:pPr>
      <w:r>
        <w:drawing>
          <wp:inline distT="0" distB="0" distL="114300" distR="114300">
            <wp:extent cx="6478270" cy="3027045"/>
            <wp:effectExtent l="0" t="0" r="17780" b="1905"/>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icPr>
                  <pic:blipFill>
                    <a:blip r:embed="rId14"/>
                    <a:stretch>
                      <a:fillRect/>
                    </a:stretch>
                  </pic:blipFill>
                  <pic:spPr>
                    <a:xfrm>
                      <a:off x="0" y="0"/>
                      <a:ext cx="6478270" cy="3027045"/>
                    </a:xfrm>
                    <a:prstGeom prst="rect">
                      <a:avLst/>
                    </a:prstGeom>
                    <a:noFill/>
                    <a:ln>
                      <a:noFill/>
                    </a:ln>
                  </pic:spPr>
                </pic:pic>
              </a:graphicData>
            </a:graphic>
          </wp:inline>
        </w:drawing>
      </w:r>
    </w:p>
    <w:p>
      <w:pPr>
        <w:pStyle w:val="26"/>
        <w:numPr>
          <w:ilvl w:val="0"/>
          <w:numId w:val="0"/>
        </w:numPr>
        <w:ind w:leftChars="0"/>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该页面展示医疗机构已经上报承诺采购量的列表，可以查看提交状态和提交时间等信息，点击【撤回】按钮可以撤销已提交的报量信息。</w:t>
      </w:r>
    </w:p>
    <w:p>
      <w:pPr>
        <w:pStyle w:val="26"/>
        <w:numPr>
          <w:ilvl w:val="0"/>
          <w:numId w:val="0"/>
        </w:numPr>
        <w:ind w:leftChars="0"/>
        <w:rPr>
          <w:rFonts w:hint="eastAsia" w:ascii="微软雅黑" w:hAnsi="微软雅黑" w:eastAsia="微软雅黑" w:cs="微软雅黑"/>
          <w:b/>
          <w:bCs/>
          <w:color w:val="FF0000"/>
          <w:lang w:val="en-US" w:eastAsia="zh-CN"/>
        </w:rPr>
      </w:pPr>
      <w:r>
        <w:rPr>
          <w:rFonts w:hint="eastAsia" w:ascii="微软雅黑" w:hAnsi="微软雅黑" w:eastAsia="微软雅黑" w:cs="微软雅黑"/>
          <w:b/>
          <w:bCs/>
          <w:color w:val="FF0000"/>
          <w:lang w:val="en-US" w:eastAsia="zh-CN"/>
        </w:rPr>
        <w:t>注意事项说明：</w:t>
      </w:r>
    </w:p>
    <w:p>
      <w:pPr>
        <w:pStyle w:val="26"/>
        <w:numPr>
          <w:ilvl w:val="0"/>
          <w:numId w:val="5"/>
        </w:numPr>
        <w:ind w:left="425" w:leftChars="0" w:hanging="425" w:firstLineChars="0"/>
        <w:rPr>
          <w:rFonts w:hint="eastAsia" w:ascii="微软雅黑" w:hAnsi="微软雅黑" w:eastAsia="微软雅黑" w:cs="微软雅黑"/>
          <w:b/>
          <w:bCs/>
          <w:color w:val="FF0000"/>
          <w:lang w:val="en-US" w:eastAsia="zh-CN"/>
        </w:rPr>
      </w:pPr>
      <w:r>
        <w:rPr>
          <w:rFonts w:hint="eastAsia" w:ascii="微软雅黑" w:hAnsi="微软雅黑" w:eastAsia="微软雅黑" w:cs="微软雅黑"/>
          <w:b/>
          <w:bCs/>
          <w:color w:val="FF0000"/>
          <w:lang w:val="en-US" w:eastAsia="zh-CN"/>
        </w:rPr>
        <w:t>医疗机构若出现采购量上报错误可以点击【撤回】按钮撤销，重新进行上报采购量；</w:t>
      </w:r>
    </w:p>
    <w:p>
      <w:pPr>
        <w:pStyle w:val="26"/>
        <w:numPr>
          <w:ilvl w:val="0"/>
          <w:numId w:val="5"/>
        </w:numPr>
        <w:ind w:left="425" w:leftChars="0" w:hanging="425" w:firstLineChars="0"/>
        <w:rPr>
          <w:rFonts w:hint="eastAsia" w:ascii="微软雅黑" w:hAnsi="微软雅黑" w:eastAsia="微软雅黑" w:cs="微软雅黑"/>
          <w:b/>
          <w:bCs/>
          <w:color w:val="FF0000"/>
          <w:lang w:val="en-US" w:eastAsia="zh-CN"/>
        </w:rPr>
      </w:pPr>
      <w:r>
        <w:rPr>
          <w:rFonts w:hint="eastAsia" w:ascii="微软雅黑" w:hAnsi="微软雅黑" w:eastAsia="微软雅黑" w:cs="微软雅黑"/>
          <w:b/>
          <w:bCs/>
          <w:color w:val="FF0000"/>
          <w:lang w:val="en-US" w:eastAsia="zh-CN"/>
        </w:rPr>
        <w:t>医疗机构已经提交上报的承诺采购量出现审核未通过或者撤销审核的，医疗机构</w:t>
      </w:r>
      <w:r>
        <w:rPr>
          <w:rFonts w:hint="eastAsia" w:ascii="微软雅黑" w:hAnsi="微软雅黑" w:eastAsia="微软雅黑" w:cs="微软雅黑"/>
          <w:b/>
          <w:bCs/>
          <w:color w:val="FF0000"/>
          <w:sz w:val="21"/>
          <w:szCs w:val="21"/>
        </w:rPr>
        <w:t>需要重新上报采购量</w:t>
      </w:r>
      <w:r>
        <w:rPr>
          <w:rFonts w:hint="eastAsia" w:ascii="微软雅黑" w:hAnsi="微软雅黑" w:eastAsia="微软雅黑" w:cs="微软雅黑"/>
          <w:b/>
          <w:bCs/>
          <w:color w:val="FF0000"/>
          <w:sz w:val="21"/>
          <w:szCs w:val="21"/>
          <w:lang w:eastAsia="zh-CN"/>
        </w:rPr>
        <w:t>。</w:t>
      </w:r>
    </w:p>
    <w:p>
      <w:pPr>
        <w:numPr>
          <w:ilvl w:val="0"/>
          <w:numId w:val="0"/>
        </w:numPr>
        <w:rPr>
          <w:rFonts w:hint="eastAsia" w:ascii="微软雅黑" w:hAnsi="微软雅黑" w:eastAsia="微软雅黑" w:cs="微软雅黑"/>
          <w:lang w:val="en-US" w:eastAsia="zh-Hans"/>
        </w:rPr>
      </w:pPr>
    </w:p>
    <w:p>
      <w:pPr>
        <w:pStyle w:val="2"/>
        <w:jc w:val="center"/>
        <w:rPr>
          <w:rFonts w:hint="default" w:ascii="微软雅黑" w:hAnsi="微软雅黑" w:eastAsia="微软雅黑" w:cs="微软雅黑"/>
          <w:color w:val="000000" w:themeColor="text1"/>
          <w:sz w:val="30"/>
          <w:szCs w:val="30"/>
          <w:lang w:val="en-US" w:eastAsia="zh-CN"/>
          <w14:textFill>
            <w14:solidFill>
              <w14:schemeClr w14:val="tx1"/>
            </w14:solidFill>
          </w14:textFill>
        </w:rPr>
      </w:pPr>
      <w:bookmarkStart w:id="42" w:name="_Toc11536"/>
      <w:r>
        <w:rPr>
          <w:rFonts w:hint="eastAsia" w:ascii="微软雅黑" w:hAnsi="微软雅黑" w:eastAsia="微软雅黑" w:cs="微软雅黑"/>
          <w:color w:val="000000" w:themeColor="text1"/>
          <w:sz w:val="30"/>
          <w:szCs w:val="30"/>
          <w14:textFill>
            <w14:solidFill>
              <w14:schemeClr w14:val="tx1"/>
            </w14:solidFill>
          </w14:textFill>
        </w:rPr>
        <w:t>第</w:t>
      </w:r>
      <w:r>
        <w:rPr>
          <w:rFonts w:hint="eastAsia" w:ascii="微软雅黑" w:hAnsi="微软雅黑" w:eastAsia="微软雅黑" w:cs="微软雅黑"/>
          <w:color w:val="000000" w:themeColor="text1"/>
          <w:sz w:val="30"/>
          <w:szCs w:val="30"/>
          <w:lang w:val="en-US" w:eastAsia="zh-CN"/>
          <w14:textFill>
            <w14:solidFill>
              <w14:schemeClr w14:val="tx1"/>
            </w14:solidFill>
          </w14:textFill>
        </w:rPr>
        <w:t>二</w:t>
      </w:r>
      <w:r>
        <w:rPr>
          <w:rFonts w:hint="eastAsia" w:ascii="微软雅黑" w:hAnsi="微软雅黑" w:eastAsia="微软雅黑" w:cs="微软雅黑"/>
          <w:color w:val="000000" w:themeColor="text1"/>
          <w:sz w:val="30"/>
          <w:szCs w:val="30"/>
          <w14:textFill>
            <w14:solidFill>
              <w14:schemeClr w14:val="tx1"/>
            </w14:solidFill>
          </w14:textFill>
        </w:rPr>
        <w:t xml:space="preserve">章 </w:t>
      </w:r>
      <w:r>
        <w:rPr>
          <w:rFonts w:hint="eastAsia" w:ascii="微软雅黑" w:hAnsi="微软雅黑" w:eastAsia="微软雅黑" w:cs="微软雅黑"/>
          <w:color w:val="000000" w:themeColor="text1"/>
          <w:sz w:val="30"/>
          <w:szCs w:val="30"/>
          <w:lang w:val="en-US" w:eastAsia="zh-CN"/>
          <w14:textFill>
            <w14:solidFill>
              <w14:schemeClr w14:val="tx1"/>
            </w14:solidFill>
          </w14:textFill>
        </w:rPr>
        <w:t>耗材带量采购(投标企业-承诺采购量确认</w:t>
      </w:r>
      <w:bookmarkEnd w:id="42"/>
      <w:bookmarkStart w:id="48" w:name="_GoBack"/>
      <w:bookmarkEnd w:id="48"/>
    </w:p>
    <w:p>
      <w:pPr>
        <w:pStyle w:val="3"/>
        <w:rPr>
          <w:rFonts w:hint="default" w:ascii="微软雅黑" w:hAnsi="微软雅黑" w:eastAsia="微软雅黑" w:cs="微软雅黑"/>
          <w:color w:val="000000" w:themeColor="text1"/>
          <w:sz w:val="28"/>
          <w:szCs w:val="28"/>
          <w:lang w:val="en-US" w:eastAsia="zh-Hans"/>
          <w14:textFill>
            <w14:solidFill>
              <w14:schemeClr w14:val="tx1"/>
            </w14:solidFill>
          </w14:textFill>
        </w:rPr>
      </w:pPr>
      <w:bookmarkStart w:id="43" w:name="_Toc2661"/>
      <w:r>
        <w:rPr>
          <w:rFonts w:hint="eastAsia" w:ascii="微软雅黑" w:hAnsi="微软雅黑" w:eastAsia="微软雅黑" w:cs="微软雅黑"/>
          <w:color w:val="000000" w:themeColor="text1"/>
          <w:sz w:val="28"/>
          <w:szCs w:val="28"/>
          <w:lang w:val="en-US" w:eastAsia="zh-CN"/>
          <w14:textFill>
            <w14:solidFill>
              <w14:schemeClr w14:val="tx1"/>
            </w14:solidFill>
          </w14:textFill>
        </w:rPr>
        <w:t>2</w:t>
      </w:r>
      <w:r>
        <w:rPr>
          <w:rFonts w:hint="eastAsia" w:ascii="微软雅黑" w:hAnsi="微软雅黑" w:eastAsia="微软雅黑" w:cs="微软雅黑"/>
          <w:color w:val="000000" w:themeColor="text1"/>
          <w:sz w:val="28"/>
          <w:szCs w:val="28"/>
          <w:lang w:eastAsia="zh-Hans"/>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1采购量管理</w:t>
      </w:r>
      <w:bookmarkEnd w:id="43"/>
    </w:p>
    <w:p>
      <w:pPr>
        <w:pStyle w:val="4"/>
        <w:rPr>
          <w:rFonts w:hint="default" w:ascii="微软雅黑" w:hAnsi="微软雅黑" w:cs="微软雅黑"/>
          <w:color w:val="000000" w:themeColor="text1"/>
          <w:sz w:val="24"/>
          <w:szCs w:val="24"/>
          <w:lang w:val="en-US" w:eastAsia="zh-CN"/>
          <w14:textFill>
            <w14:solidFill>
              <w14:schemeClr w14:val="tx1"/>
            </w14:solidFill>
          </w14:textFill>
        </w:rPr>
      </w:pPr>
      <w:bookmarkStart w:id="44" w:name="_Toc22919"/>
      <w:r>
        <w:rPr>
          <w:rFonts w:hint="eastAsia" w:ascii="微软雅黑" w:hAnsi="微软雅黑" w:cs="微软雅黑"/>
          <w:color w:val="000000" w:themeColor="text1"/>
          <w:sz w:val="24"/>
          <w:szCs w:val="24"/>
          <w:lang w:val="en-US" w:eastAsia="zh-CN"/>
          <w14:textFill>
            <w14:solidFill>
              <w14:schemeClr w14:val="tx1"/>
            </w14:solidFill>
          </w14:textFill>
        </w:rPr>
        <w:t>2</w:t>
      </w:r>
      <w:r>
        <w:rPr>
          <w:rFonts w:hint="eastAsia" w:ascii="微软雅黑" w:hAnsi="微软雅黑" w:cs="微软雅黑"/>
          <w:color w:val="000000" w:themeColor="text1"/>
          <w:sz w:val="24"/>
          <w:szCs w:val="24"/>
          <w:lang w:eastAsia="zh-Hans"/>
          <w14:textFill>
            <w14:solidFill>
              <w14:schemeClr w14:val="tx1"/>
            </w14:solidFill>
          </w14:textFill>
        </w:rPr>
        <w:t>.</w:t>
      </w:r>
      <w:r>
        <w:rPr>
          <w:rFonts w:hint="eastAsia" w:ascii="微软雅黑" w:hAnsi="微软雅黑" w:cs="微软雅黑"/>
          <w:color w:val="000000" w:themeColor="text1"/>
          <w:sz w:val="24"/>
          <w:szCs w:val="24"/>
          <w:lang w:val="en-US" w:eastAsia="zh-CN"/>
          <w14:textFill>
            <w14:solidFill>
              <w14:schemeClr w14:val="tx1"/>
            </w14:solidFill>
          </w14:textFill>
        </w:rPr>
        <w:t>2承诺采购量确认</w:t>
      </w:r>
      <w:bookmarkEnd w:id="44"/>
    </w:p>
    <w:p>
      <w:pPr>
        <w:numPr>
          <w:ilvl w:val="0"/>
          <w:numId w:val="0"/>
        </w:numPr>
      </w:pPr>
      <w:r>
        <w:rPr>
          <w:rFonts w:hint="eastAsia" w:ascii="微软雅黑" w:hAnsi="微软雅黑" w:eastAsia="微软雅黑" w:cs="微软雅黑"/>
          <w:lang w:val="en-US" w:eastAsia="zh-CN"/>
        </w:rPr>
        <w:t>该页面展示承诺采购量确认项目列表，投标企业可以查看承诺采购量确认时间范围,请及时操作,避免错过时间。</w:t>
      </w:r>
      <w:r>
        <w:drawing>
          <wp:inline distT="0" distB="0" distL="114300" distR="114300">
            <wp:extent cx="6478270" cy="2270760"/>
            <wp:effectExtent l="0" t="0" r="17780" b="15240"/>
            <wp:docPr id="1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pic:cNvPicPr>
                      <a:picLocks noChangeAspect="1"/>
                    </pic:cNvPicPr>
                  </pic:nvPicPr>
                  <pic:blipFill>
                    <a:blip r:embed="rId15"/>
                    <a:stretch>
                      <a:fillRect/>
                    </a:stretch>
                  </pic:blipFill>
                  <pic:spPr>
                    <a:xfrm>
                      <a:off x="0" y="0"/>
                      <a:ext cx="6478270" cy="2270760"/>
                    </a:xfrm>
                    <a:prstGeom prst="rect">
                      <a:avLst/>
                    </a:prstGeom>
                    <a:noFill/>
                    <a:ln>
                      <a:noFill/>
                    </a:ln>
                  </pic:spPr>
                </pic:pic>
              </a:graphicData>
            </a:graphic>
          </wp:inline>
        </w:drawing>
      </w:r>
    </w:p>
    <w:p>
      <w:pPr>
        <w:pStyle w:val="5"/>
        <w:rPr>
          <w:rFonts w:hint="default" w:ascii="微软雅黑" w:hAnsi="微软雅黑" w:eastAsia="微软雅黑" w:cs="微软雅黑"/>
          <w:sz w:val="24"/>
          <w:szCs w:val="24"/>
          <w:lang w:val="en-US" w:eastAsia="zh-CN"/>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2</w:t>
      </w:r>
      <w:r>
        <w:rPr>
          <w:rFonts w:hint="eastAsia" w:ascii="微软雅黑" w:hAnsi="微软雅黑" w:eastAsia="微软雅黑" w:cs="微软雅黑"/>
          <w:color w:val="000000" w:themeColor="text1"/>
          <w:sz w:val="24"/>
          <w:szCs w:val="24"/>
          <w:lang w:eastAsia="zh-Hans"/>
          <w14:textFill>
            <w14:solidFill>
              <w14:schemeClr w14:val="tx1"/>
            </w14:solidFill>
          </w14:textFill>
        </w:rPr>
        <w:t>.</w:t>
      </w:r>
      <w:r>
        <w:rPr>
          <w:rFonts w:hint="eastAsia" w:ascii="微软雅黑" w:hAnsi="微软雅黑" w:eastAsia="微软雅黑" w:cs="微软雅黑"/>
          <w:color w:val="000000" w:themeColor="text1"/>
          <w:sz w:val="24"/>
          <w:szCs w:val="24"/>
          <w:lang w:val="en-US" w:eastAsia="zh-CN"/>
          <w14:textFill>
            <w14:solidFill>
              <w14:schemeClr w14:val="tx1"/>
            </w14:solidFill>
          </w14:textFill>
        </w:rPr>
        <w:t>3承诺采购量上报-未确认</w:t>
      </w:r>
    </w:p>
    <w:p>
      <w:pPr>
        <w:pStyle w:val="26"/>
        <w:numPr>
          <w:ilvl w:val="0"/>
          <w:numId w:val="2"/>
        </w:numPr>
        <w:ind w:left="420" w:leftChars="0" w:hanging="420" w:firstLineChars="0"/>
        <w:rPr>
          <w:rFonts w:hint="default" w:ascii="微软雅黑" w:hAnsi="微软雅黑" w:eastAsia="微软雅黑" w:cs="微软雅黑"/>
          <w:lang w:val="en-US" w:eastAsia="zh-CN"/>
        </w:rPr>
      </w:pPr>
      <w:r>
        <w:rPr>
          <w:rFonts w:hint="eastAsia" w:ascii="微软雅黑" w:hAnsi="微软雅黑" w:eastAsia="微软雅黑" w:cs="微软雅黑"/>
          <w:color w:val="000000" w:themeColor="text1"/>
          <w:szCs w:val="21"/>
          <w:lang w:eastAsia="zh-Hans"/>
          <w14:textFill>
            <w14:solidFill>
              <w14:schemeClr w14:val="tx1"/>
            </w14:solidFill>
          </w14:textFill>
        </w:rPr>
        <w:t>点击【</w:t>
      </w:r>
      <w:r>
        <w:rPr>
          <w:rFonts w:hint="eastAsia" w:ascii="微软雅黑" w:hAnsi="微软雅黑" w:eastAsia="微软雅黑" w:cs="微软雅黑"/>
          <w:color w:val="000000" w:themeColor="text1"/>
          <w:szCs w:val="21"/>
          <w:lang w:val="en-US" w:eastAsia="zh-CN"/>
          <w14:textFill>
            <w14:solidFill>
              <w14:schemeClr w14:val="tx1"/>
            </w14:solidFill>
          </w14:textFill>
        </w:rPr>
        <w:t>承诺采购量确认</w:t>
      </w:r>
      <w:r>
        <w:rPr>
          <w:rFonts w:hint="eastAsia" w:ascii="微软雅黑" w:hAnsi="微软雅黑" w:eastAsia="微软雅黑" w:cs="微软雅黑"/>
          <w:color w:val="000000" w:themeColor="text1"/>
          <w:szCs w:val="21"/>
          <w:lang w:eastAsia="zh-Hans"/>
          <w14:textFill>
            <w14:solidFill>
              <w14:schemeClr w14:val="tx1"/>
            </w14:solidFill>
          </w14:textFill>
        </w:rPr>
        <w:t>】按钮</w:t>
      </w:r>
      <w:r>
        <w:rPr>
          <w:rFonts w:hint="eastAsia" w:ascii="微软雅黑" w:hAnsi="微软雅黑" w:eastAsia="微软雅黑" w:cs="微软雅黑"/>
          <w:color w:val="000000" w:themeColor="text1"/>
          <w:szCs w:val="21"/>
          <w:lang w:val="en-US" w:eastAsia="zh-CN"/>
          <w14:textFill>
            <w14:solidFill>
              <w14:schemeClr w14:val="tx1"/>
            </w14:solidFill>
          </w14:textFill>
        </w:rPr>
        <w:t>跳转承诺采购量未确认界面：</w:t>
      </w:r>
    </w:p>
    <w:p>
      <w:pPr>
        <w:pStyle w:val="26"/>
        <w:numPr>
          <w:ilvl w:val="0"/>
          <w:numId w:val="0"/>
        </w:numPr>
        <w:ind w:leftChars="0"/>
      </w:pPr>
      <w:r>
        <w:drawing>
          <wp:inline distT="0" distB="0" distL="114300" distR="114300">
            <wp:extent cx="6470650" cy="2762885"/>
            <wp:effectExtent l="0" t="0" r="6350" b="18415"/>
            <wp:docPr id="1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pic:cNvPicPr>
                      <a:picLocks noChangeAspect="1"/>
                    </pic:cNvPicPr>
                  </pic:nvPicPr>
                  <pic:blipFill>
                    <a:blip r:embed="rId16"/>
                    <a:stretch>
                      <a:fillRect/>
                    </a:stretch>
                  </pic:blipFill>
                  <pic:spPr>
                    <a:xfrm>
                      <a:off x="0" y="0"/>
                      <a:ext cx="6470650" cy="2762885"/>
                    </a:xfrm>
                    <a:prstGeom prst="rect">
                      <a:avLst/>
                    </a:prstGeom>
                    <a:noFill/>
                    <a:ln>
                      <a:noFill/>
                    </a:ln>
                  </pic:spPr>
                </pic:pic>
              </a:graphicData>
            </a:graphic>
          </wp:inline>
        </w:drawing>
      </w:r>
    </w:p>
    <w:p>
      <w:pPr>
        <w:widowControl w:val="0"/>
        <w:numPr>
          <w:ilvl w:val="0"/>
          <w:numId w:val="0"/>
        </w:numPr>
        <w:jc w:val="both"/>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该页面展示医疗机构已上报承诺采购量企业未确认的报量信息，生产企业勾选并点击【确认】按钮，可完成已提交待确认的报量信息。</w:t>
      </w:r>
    </w:p>
    <w:p>
      <w:pPr>
        <w:widowControl w:val="0"/>
        <w:numPr>
          <w:ilvl w:val="0"/>
          <w:numId w:val="0"/>
        </w:numPr>
        <w:jc w:val="both"/>
        <w:rPr>
          <w:rFonts w:hint="default" w:ascii="微软雅黑" w:hAnsi="微软雅黑" w:eastAsia="微软雅黑" w:cs="微软雅黑"/>
          <w:b/>
          <w:bCs/>
          <w:color w:val="FF0000"/>
          <w:lang w:val="en-US" w:eastAsia="zh-CN"/>
        </w:rPr>
      </w:pPr>
      <w:r>
        <w:rPr>
          <w:rFonts w:hint="eastAsia" w:ascii="微软雅黑" w:hAnsi="微软雅黑" w:eastAsia="微软雅黑" w:cs="微软雅黑"/>
          <w:b/>
          <w:bCs/>
          <w:color w:val="FF0000"/>
          <w:lang w:val="en-US" w:eastAsia="zh-CN"/>
        </w:rPr>
        <w:t>注意：在确认时间内才可作出确认，截止后不可再操作。</w:t>
      </w:r>
    </w:p>
    <w:p>
      <w:pPr>
        <w:pStyle w:val="5"/>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2</w:t>
      </w:r>
      <w:r>
        <w:rPr>
          <w:rFonts w:hint="eastAsia" w:ascii="微软雅黑" w:hAnsi="微软雅黑" w:eastAsia="微软雅黑" w:cs="微软雅黑"/>
          <w:color w:val="000000" w:themeColor="text1"/>
          <w:sz w:val="24"/>
          <w:szCs w:val="24"/>
          <w:lang w:eastAsia="zh-Hans"/>
          <w14:textFill>
            <w14:solidFill>
              <w14:schemeClr w14:val="tx1"/>
            </w14:solidFill>
          </w14:textFill>
        </w:rPr>
        <w:t>.</w:t>
      </w:r>
      <w:r>
        <w:rPr>
          <w:rFonts w:hint="eastAsia" w:ascii="微软雅黑" w:hAnsi="微软雅黑" w:eastAsia="微软雅黑" w:cs="微软雅黑"/>
          <w:color w:val="000000" w:themeColor="text1"/>
          <w:sz w:val="24"/>
          <w:szCs w:val="24"/>
          <w:lang w:val="en-US" w:eastAsia="zh-CN"/>
          <w14:textFill>
            <w14:solidFill>
              <w14:schemeClr w14:val="tx1"/>
            </w14:solidFill>
          </w14:textFill>
        </w:rPr>
        <w:t>3承诺采购量上报-已确认</w:t>
      </w:r>
    </w:p>
    <w:p>
      <w:pPr>
        <w:pStyle w:val="26"/>
        <w:numPr>
          <w:ilvl w:val="0"/>
          <w:numId w:val="2"/>
        </w:numPr>
        <w:ind w:left="420" w:leftChars="0" w:hanging="420" w:firstLineChars="0"/>
        <w:rPr>
          <w:rFonts w:hint="eastAsia"/>
          <w:lang w:val="en-US" w:eastAsia="zh-CN"/>
        </w:rPr>
      </w:pPr>
      <w:r>
        <w:rPr>
          <w:rFonts w:hint="eastAsia" w:ascii="微软雅黑" w:hAnsi="微软雅黑" w:eastAsia="微软雅黑" w:cs="微软雅黑"/>
          <w:color w:val="000000" w:themeColor="text1"/>
          <w:szCs w:val="21"/>
          <w:lang w:eastAsia="zh-Hans"/>
          <w14:textFill>
            <w14:solidFill>
              <w14:schemeClr w14:val="tx1"/>
            </w14:solidFill>
          </w14:textFill>
        </w:rPr>
        <w:t>点击【</w:t>
      </w:r>
      <w:r>
        <w:rPr>
          <w:rFonts w:hint="eastAsia" w:ascii="微软雅黑" w:hAnsi="微软雅黑" w:eastAsia="微软雅黑" w:cs="微软雅黑"/>
          <w:color w:val="000000" w:themeColor="text1"/>
          <w:szCs w:val="21"/>
          <w:lang w:val="en-US" w:eastAsia="zh-CN"/>
          <w14:textFill>
            <w14:solidFill>
              <w14:schemeClr w14:val="tx1"/>
            </w14:solidFill>
          </w14:textFill>
        </w:rPr>
        <w:t>已确认</w:t>
      </w:r>
      <w:r>
        <w:rPr>
          <w:rFonts w:hint="eastAsia" w:ascii="微软雅黑" w:hAnsi="微软雅黑" w:eastAsia="微软雅黑" w:cs="微软雅黑"/>
          <w:color w:val="000000" w:themeColor="text1"/>
          <w:szCs w:val="21"/>
          <w:lang w:eastAsia="zh-Hans"/>
          <w14:textFill>
            <w14:solidFill>
              <w14:schemeClr w14:val="tx1"/>
            </w14:solidFill>
          </w14:textFill>
        </w:rPr>
        <w:t>】按钮</w:t>
      </w:r>
      <w:r>
        <w:rPr>
          <w:rFonts w:hint="eastAsia" w:ascii="微软雅黑" w:hAnsi="微软雅黑" w:eastAsia="微软雅黑" w:cs="微软雅黑"/>
          <w:color w:val="000000" w:themeColor="text1"/>
          <w:szCs w:val="21"/>
          <w:lang w:val="en-US" w:eastAsia="zh-CN"/>
          <w14:textFill>
            <w14:solidFill>
              <w14:schemeClr w14:val="tx1"/>
            </w14:solidFill>
          </w14:textFill>
        </w:rPr>
        <w:t>跳转承诺采购量已确认界面：</w:t>
      </w:r>
    </w:p>
    <w:p>
      <w:pPr>
        <w:rPr>
          <w:rFonts w:hint="eastAsia"/>
          <w:lang w:val="en-US" w:eastAsia="zh-CN"/>
        </w:rPr>
      </w:pPr>
      <w:r>
        <w:drawing>
          <wp:inline distT="0" distB="0" distL="114300" distR="114300">
            <wp:extent cx="6476365" cy="2745740"/>
            <wp:effectExtent l="0" t="0" r="635" b="16510"/>
            <wp:docPr id="2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
                    <pic:cNvPicPr>
                      <a:picLocks noChangeAspect="1"/>
                    </pic:cNvPicPr>
                  </pic:nvPicPr>
                  <pic:blipFill>
                    <a:blip r:embed="rId17"/>
                    <a:stretch>
                      <a:fillRect/>
                    </a:stretch>
                  </pic:blipFill>
                  <pic:spPr>
                    <a:xfrm>
                      <a:off x="0" y="0"/>
                      <a:ext cx="6476365" cy="2745740"/>
                    </a:xfrm>
                    <a:prstGeom prst="rect">
                      <a:avLst/>
                    </a:prstGeom>
                    <a:noFill/>
                    <a:ln>
                      <a:noFill/>
                    </a:ln>
                  </pic:spPr>
                </pic:pic>
              </a:graphicData>
            </a:graphic>
          </wp:inline>
        </w:drawing>
      </w:r>
    </w:p>
    <w:p>
      <w:pPr>
        <w:widowControl w:val="0"/>
        <w:numPr>
          <w:ilvl w:val="0"/>
          <w:numId w:val="0"/>
        </w:numPr>
        <w:jc w:val="both"/>
        <w:rPr>
          <w:rFonts w:hint="default"/>
          <w:lang w:val="en-US"/>
        </w:rPr>
      </w:pPr>
      <w:r>
        <w:rPr>
          <w:rFonts w:hint="eastAsia" w:ascii="微软雅黑" w:hAnsi="微软雅黑" w:eastAsia="微软雅黑" w:cs="微软雅黑"/>
          <w:lang w:val="en-US" w:eastAsia="zh-CN"/>
        </w:rPr>
        <w:t>该页面展示医疗机构已上报承诺采购量且企业已确认的目录列表。</w:t>
      </w:r>
    </w:p>
    <w:p>
      <w:pPr>
        <w:rPr>
          <w:rFonts w:hint="default"/>
          <w:lang w:val="en-US" w:eastAsia="zh-CN"/>
        </w:rPr>
      </w:pPr>
    </w:p>
    <w:p>
      <w:pPr>
        <w:widowControl w:val="0"/>
        <w:numPr>
          <w:ilvl w:val="0"/>
          <w:numId w:val="0"/>
        </w:numPr>
        <w:tabs>
          <w:tab w:val="left" w:pos="312"/>
        </w:tabs>
        <w:jc w:val="both"/>
        <w:rPr>
          <w:rFonts w:hint="eastAsia" w:ascii="微软雅黑" w:hAnsi="微软雅黑" w:eastAsia="微软雅黑" w:cs="微软雅黑"/>
          <w:lang w:val="en-US" w:eastAsia="zh-Hans"/>
        </w:rPr>
      </w:pPr>
    </w:p>
    <w:p>
      <w:pPr>
        <w:pStyle w:val="2"/>
        <w:numPr>
          <w:ilvl w:val="0"/>
          <w:numId w:val="6"/>
        </w:numPr>
        <w:jc w:val="center"/>
        <w:rPr>
          <w:rFonts w:hint="eastAsia" w:ascii="微软雅黑" w:hAnsi="微软雅黑" w:eastAsia="微软雅黑" w:cs="微软雅黑"/>
          <w:color w:val="000000" w:themeColor="text1"/>
          <w:sz w:val="30"/>
          <w:szCs w:val="30"/>
          <w:lang w:val="en-US" w:eastAsia="zh-CN"/>
          <w14:textFill>
            <w14:solidFill>
              <w14:schemeClr w14:val="tx1"/>
            </w14:solidFill>
          </w14:textFill>
        </w:rPr>
      </w:pPr>
      <w:bookmarkStart w:id="45" w:name="_Toc10030"/>
      <w:r>
        <w:rPr>
          <w:rFonts w:hint="eastAsia" w:ascii="微软雅黑" w:hAnsi="微软雅黑" w:eastAsia="微软雅黑" w:cs="微软雅黑"/>
          <w:color w:val="000000" w:themeColor="text1"/>
          <w:sz w:val="30"/>
          <w:szCs w:val="30"/>
          <w:lang w:val="en-US" w:eastAsia="zh-CN"/>
          <w14:textFill>
            <w14:solidFill>
              <w14:schemeClr w14:val="tx1"/>
            </w14:solidFill>
          </w14:textFill>
        </w:rPr>
        <w:t>耗材带量采购(地州医保局-承诺采购量审核)</w:t>
      </w:r>
      <w:bookmarkEnd w:id="45"/>
    </w:p>
    <w:p>
      <w:pPr>
        <w:pStyle w:val="3"/>
        <w:rPr>
          <w:rFonts w:hint="default" w:ascii="微软雅黑" w:hAnsi="微软雅黑" w:eastAsia="微软雅黑" w:cs="微软雅黑"/>
          <w:color w:val="000000" w:themeColor="text1"/>
          <w:sz w:val="28"/>
          <w:szCs w:val="28"/>
          <w:lang w:val="en-US" w:eastAsia="zh-Hans"/>
          <w14:textFill>
            <w14:solidFill>
              <w14:schemeClr w14:val="tx1"/>
            </w14:solidFill>
          </w14:textFill>
        </w:rPr>
      </w:pPr>
      <w:bookmarkStart w:id="46" w:name="_Toc31685"/>
      <w:r>
        <w:rPr>
          <w:rFonts w:hint="eastAsia" w:ascii="微软雅黑" w:hAnsi="微软雅黑" w:eastAsia="微软雅黑" w:cs="微软雅黑"/>
          <w:color w:val="000000" w:themeColor="text1"/>
          <w:sz w:val="28"/>
          <w:szCs w:val="28"/>
          <w:lang w:val="en-US" w:eastAsia="zh-CN"/>
          <w14:textFill>
            <w14:solidFill>
              <w14:schemeClr w14:val="tx1"/>
            </w14:solidFill>
          </w14:textFill>
        </w:rPr>
        <w:t>3</w:t>
      </w:r>
      <w:r>
        <w:rPr>
          <w:rFonts w:hint="eastAsia" w:ascii="微软雅黑" w:hAnsi="微软雅黑" w:eastAsia="微软雅黑" w:cs="微软雅黑"/>
          <w:color w:val="000000" w:themeColor="text1"/>
          <w:sz w:val="28"/>
          <w:szCs w:val="28"/>
          <w:lang w:eastAsia="zh-Hans"/>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1采购计划管理</w:t>
      </w:r>
      <w:bookmarkEnd w:id="46"/>
    </w:p>
    <w:p>
      <w:pPr>
        <w:pStyle w:val="4"/>
        <w:rPr>
          <w:rFonts w:hint="default" w:ascii="微软雅黑" w:hAnsi="微软雅黑" w:cs="微软雅黑"/>
          <w:color w:val="000000" w:themeColor="text1"/>
          <w:sz w:val="24"/>
          <w:szCs w:val="24"/>
          <w:lang w:val="en-US" w:eastAsia="zh-CN"/>
          <w14:textFill>
            <w14:solidFill>
              <w14:schemeClr w14:val="tx1"/>
            </w14:solidFill>
          </w14:textFill>
        </w:rPr>
      </w:pPr>
      <w:bookmarkStart w:id="47" w:name="_Toc14668"/>
      <w:r>
        <w:rPr>
          <w:rFonts w:hint="eastAsia" w:ascii="微软雅黑" w:hAnsi="微软雅黑" w:cs="微软雅黑"/>
          <w:color w:val="000000" w:themeColor="text1"/>
          <w:sz w:val="24"/>
          <w:szCs w:val="24"/>
          <w:lang w:val="en-US" w:eastAsia="zh-CN"/>
          <w14:textFill>
            <w14:solidFill>
              <w14:schemeClr w14:val="tx1"/>
            </w14:solidFill>
          </w14:textFill>
        </w:rPr>
        <w:t>3</w:t>
      </w:r>
      <w:r>
        <w:rPr>
          <w:rFonts w:hint="eastAsia" w:ascii="微软雅黑" w:hAnsi="微软雅黑" w:cs="微软雅黑"/>
          <w:color w:val="000000" w:themeColor="text1"/>
          <w:sz w:val="24"/>
          <w:szCs w:val="24"/>
          <w:lang w:eastAsia="zh-Hans"/>
          <w14:textFill>
            <w14:solidFill>
              <w14:schemeClr w14:val="tx1"/>
            </w14:solidFill>
          </w14:textFill>
        </w:rPr>
        <w:t>.</w:t>
      </w:r>
      <w:r>
        <w:rPr>
          <w:rFonts w:hint="eastAsia" w:ascii="微软雅黑" w:hAnsi="微软雅黑" w:cs="微软雅黑"/>
          <w:color w:val="000000" w:themeColor="text1"/>
          <w:sz w:val="24"/>
          <w:szCs w:val="24"/>
          <w:lang w:val="en-US" w:eastAsia="zh-CN"/>
          <w14:textFill>
            <w14:solidFill>
              <w14:schemeClr w14:val="tx1"/>
            </w14:solidFill>
          </w14:textFill>
        </w:rPr>
        <w:t>2直属医院报量审核</w:t>
      </w:r>
      <w:bookmarkEnd w:id="47"/>
    </w:p>
    <w:p>
      <w:r>
        <w:drawing>
          <wp:inline distT="0" distB="0" distL="114300" distR="114300">
            <wp:extent cx="6473825" cy="2227580"/>
            <wp:effectExtent l="0" t="0" r="3175" b="1270"/>
            <wp:docPr id="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pic:cNvPicPr>
                      <a:picLocks noChangeAspect="1"/>
                    </pic:cNvPicPr>
                  </pic:nvPicPr>
                  <pic:blipFill>
                    <a:blip r:embed="rId18"/>
                    <a:stretch>
                      <a:fillRect/>
                    </a:stretch>
                  </pic:blipFill>
                  <pic:spPr>
                    <a:xfrm>
                      <a:off x="0" y="0"/>
                      <a:ext cx="6473825" cy="2227580"/>
                    </a:xfrm>
                    <a:prstGeom prst="rect">
                      <a:avLst/>
                    </a:prstGeom>
                    <a:noFill/>
                    <a:ln>
                      <a:noFill/>
                    </a:ln>
                  </pic:spPr>
                </pic:pic>
              </a:graphicData>
            </a:graphic>
          </wp:inline>
        </w:drawing>
      </w:r>
    </w:p>
    <w:p>
      <w:pPr>
        <w:pStyle w:val="26"/>
        <w:numPr>
          <w:ilvl w:val="0"/>
          <w:numId w:val="2"/>
        </w:numPr>
        <w:ind w:left="420" w:leftChars="0" w:hanging="420" w:firstLineChars="0"/>
        <w:rPr>
          <w:rFonts w:hint="eastAsia"/>
          <w:lang w:val="en-US" w:eastAsia="zh-CN"/>
        </w:rPr>
      </w:pPr>
      <w:r>
        <w:rPr>
          <w:rFonts w:hint="eastAsia" w:ascii="微软雅黑" w:hAnsi="微软雅黑" w:eastAsia="微软雅黑" w:cs="微软雅黑"/>
          <w:color w:val="000000" w:themeColor="text1"/>
          <w:szCs w:val="21"/>
          <w:lang w:eastAsia="zh-Hans"/>
          <w14:textFill>
            <w14:solidFill>
              <w14:schemeClr w14:val="tx1"/>
            </w14:solidFill>
          </w14:textFill>
        </w:rPr>
        <w:t>点击【</w:t>
      </w:r>
      <w:r>
        <w:rPr>
          <w:rFonts w:hint="eastAsia" w:ascii="微软雅黑" w:hAnsi="微软雅黑" w:eastAsia="微软雅黑" w:cs="微软雅黑"/>
          <w:color w:val="000000" w:themeColor="text1"/>
          <w:szCs w:val="21"/>
          <w:lang w:val="en-US" w:eastAsia="zh-CN"/>
          <w14:textFill>
            <w14:solidFill>
              <w14:schemeClr w14:val="tx1"/>
            </w14:solidFill>
          </w14:textFill>
        </w:rPr>
        <w:t>直属医院报量审核</w:t>
      </w:r>
      <w:r>
        <w:rPr>
          <w:rFonts w:hint="eastAsia" w:ascii="微软雅黑" w:hAnsi="微软雅黑" w:eastAsia="微软雅黑" w:cs="微软雅黑"/>
          <w:color w:val="000000" w:themeColor="text1"/>
          <w:szCs w:val="21"/>
          <w:lang w:eastAsia="zh-Hans"/>
          <w14:textFill>
            <w14:solidFill>
              <w14:schemeClr w14:val="tx1"/>
            </w14:solidFill>
          </w14:textFill>
        </w:rPr>
        <w:t>】按钮</w:t>
      </w:r>
      <w:r>
        <w:rPr>
          <w:rFonts w:hint="eastAsia" w:ascii="微软雅黑" w:hAnsi="微软雅黑" w:eastAsia="微软雅黑" w:cs="微软雅黑"/>
          <w:color w:val="000000" w:themeColor="text1"/>
          <w:szCs w:val="21"/>
          <w:lang w:val="en-US" w:eastAsia="zh-CN"/>
          <w14:textFill>
            <w14:solidFill>
              <w14:schemeClr w14:val="tx1"/>
            </w14:solidFill>
          </w14:textFill>
        </w:rPr>
        <w:t>跳转承诺采购量审核界面：</w:t>
      </w:r>
    </w:p>
    <w:p>
      <w:pPr>
        <w:pStyle w:val="26"/>
        <w:widowControl w:val="0"/>
        <w:numPr>
          <w:ilvl w:val="0"/>
          <w:numId w:val="0"/>
        </w:numPr>
        <w:jc w:val="both"/>
        <w:rPr>
          <w:rFonts w:hint="eastAsia" w:ascii="微软雅黑" w:hAnsi="微软雅黑" w:eastAsia="微软雅黑" w:cs="微软雅黑"/>
          <w:color w:val="000000" w:themeColor="text1"/>
          <w:szCs w:val="21"/>
          <w:lang w:val="en-US" w:eastAsia="zh-CN"/>
          <w14:textFill>
            <w14:solidFill>
              <w14:schemeClr w14:val="tx1"/>
            </w14:solidFill>
          </w14:textFill>
        </w:rPr>
      </w:pPr>
    </w:p>
    <w:p>
      <w:pPr>
        <w:pStyle w:val="26"/>
        <w:widowControl w:val="0"/>
        <w:numPr>
          <w:ilvl w:val="0"/>
          <w:numId w:val="0"/>
        </w:numPr>
        <w:jc w:val="both"/>
        <w:rPr>
          <w:rFonts w:hint="eastAsia" w:ascii="微软雅黑" w:hAnsi="微软雅黑" w:eastAsia="微软雅黑" w:cs="微软雅黑"/>
          <w:color w:val="000000" w:themeColor="text1"/>
          <w:szCs w:val="21"/>
          <w:lang w:val="en-US" w:eastAsia="zh-CN"/>
          <w14:textFill>
            <w14:solidFill>
              <w14:schemeClr w14:val="tx1"/>
            </w14:solidFill>
          </w14:textFill>
        </w:rPr>
      </w:pPr>
    </w:p>
    <w:p>
      <w:pPr>
        <w:rPr>
          <w:rFonts w:hint="eastAsia"/>
          <w:lang w:val="en-US" w:eastAsia="zh-CN"/>
        </w:rPr>
      </w:pPr>
      <w:r>
        <w:rPr>
          <w:rFonts w:hint="eastAsia" w:ascii="微软雅黑" w:hAnsi="微软雅黑" w:eastAsia="微软雅黑" w:cs="微软雅黑"/>
          <w:lang w:val="en-US" w:eastAsia="zh-CN"/>
        </w:rPr>
        <w:t>该页面展示产品承诺采购量上报未审核列表页面：</w:t>
      </w:r>
    </w:p>
    <w:p>
      <w:r>
        <w:drawing>
          <wp:inline distT="0" distB="0" distL="114300" distR="114300">
            <wp:extent cx="6478270" cy="2818130"/>
            <wp:effectExtent l="0" t="0" r="17780" b="1270"/>
            <wp:docPr id="2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5"/>
                    <pic:cNvPicPr>
                      <a:picLocks noChangeAspect="1"/>
                    </pic:cNvPicPr>
                  </pic:nvPicPr>
                  <pic:blipFill>
                    <a:blip r:embed="rId19"/>
                    <a:stretch>
                      <a:fillRect/>
                    </a:stretch>
                  </pic:blipFill>
                  <pic:spPr>
                    <a:xfrm>
                      <a:off x="0" y="0"/>
                      <a:ext cx="6478270" cy="2818130"/>
                    </a:xfrm>
                    <a:prstGeom prst="rect">
                      <a:avLst/>
                    </a:prstGeom>
                    <a:noFill/>
                    <a:ln>
                      <a:noFill/>
                    </a:ln>
                  </pic:spPr>
                </pic:pic>
              </a:graphicData>
            </a:graphic>
          </wp:inline>
        </w:drawing>
      </w:r>
    </w:p>
    <w:p>
      <w:pPr>
        <w:rPr>
          <w:rFonts w:hint="eastAsia" w:ascii="微软雅黑" w:hAnsi="微软雅黑" w:eastAsia="微软雅黑" w:cs="微软雅黑"/>
          <w:color w:val="FF0000"/>
          <w:sz w:val="21"/>
          <w:szCs w:val="21"/>
          <w:lang w:eastAsia="zh-CN"/>
        </w:rPr>
      </w:pPr>
      <w:r>
        <w:rPr>
          <w:rFonts w:hint="eastAsia" w:ascii="微软雅黑" w:hAnsi="微软雅黑" w:eastAsia="微软雅黑" w:cs="微软雅黑"/>
          <w:color w:val="FF0000"/>
          <w:sz w:val="21"/>
          <w:szCs w:val="21"/>
        </w:rPr>
        <w:t>注意：审核不通过后，医疗机构需要重新上报采购量，才能重新审核</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rPr>
        <w:t>审核不通过的直接回到医院</w:t>
      </w:r>
      <w:r>
        <w:rPr>
          <w:rFonts w:hint="eastAsia" w:ascii="微软雅黑" w:hAnsi="微软雅黑" w:eastAsia="微软雅黑" w:cs="微软雅黑"/>
          <w:color w:val="FF0000"/>
          <w:sz w:val="21"/>
          <w:szCs w:val="21"/>
          <w:lang w:val="en-US" w:eastAsia="zh-CN"/>
        </w:rPr>
        <w:t>端，</w:t>
      </w:r>
      <w:r>
        <w:rPr>
          <w:rFonts w:hint="eastAsia" w:ascii="微软雅黑" w:hAnsi="微软雅黑" w:eastAsia="微软雅黑" w:cs="微软雅黑"/>
          <w:color w:val="FF0000"/>
          <w:sz w:val="21"/>
          <w:szCs w:val="21"/>
        </w:rPr>
        <w:t> </w:t>
      </w:r>
      <w:r>
        <w:rPr>
          <w:rFonts w:hint="eastAsia" w:ascii="微软雅黑" w:hAnsi="微软雅黑" w:eastAsia="微软雅黑" w:cs="微软雅黑"/>
          <w:color w:val="FF0000"/>
          <w:sz w:val="21"/>
          <w:szCs w:val="21"/>
          <w:lang w:val="en-US" w:eastAsia="zh-CN"/>
        </w:rPr>
        <w:t>需</w:t>
      </w:r>
      <w:r>
        <w:rPr>
          <w:rFonts w:hint="eastAsia" w:ascii="微软雅黑" w:hAnsi="微软雅黑" w:eastAsia="微软雅黑" w:cs="微软雅黑"/>
          <w:color w:val="FF0000"/>
          <w:sz w:val="21"/>
          <w:szCs w:val="21"/>
        </w:rPr>
        <w:t>要重新提交</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lang w:val="en-US" w:eastAsia="zh-CN"/>
        </w:rPr>
        <w:t>地州</w:t>
      </w:r>
      <w:r>
        <w:rPr>
          <w:rFonts w:hint="eastAsia" w:ascii="微软雅黑" w:hAnsi="微软雅黑" w:eastAsia="微软雅黑" w:cs="微软雅黑"/>
          <w:color w:val="FF0000"/>
          <w:sz w:val="21"/>
          <w:szCs w:val="21"/>
        </w:rPr>
        <w:t>医保</w:t>
      </w:r>
      <w:r>
        <w:rPr>
          <w:rFonts w:hint="eastAsia" w:ascii="微软雅黑" w:hAnsi="微软雅黑" w:eastAsia="微软雅黑" w:cs="微软雅黑"/>
          <w:color w:val="FF0000"/>
          <w:sz w:val="21"/>
          <w:szCs w:val="21"/>
          <w:lang w:val="en-US" w:eastAsia="zh-CN"/>
        </w:rPr>
        <w:t>端</w:t>
      </w:r>
      <w:r>
        <w:rPr>
          <w:rFonts w:hint="eastAsia" w:ascii="微软雅黑" w:hAnsi="微软雅黑" w:eastAsia="微软雅黑" w:cs="微软雅黑"/>
          <w:color w:val="FF0000"/>
          <w:sz w:val="21"/>
          <w:szCs w:val="21"/>
        </w:rPr>
        <w:t>这边没记录</w:t>
      </w:r>
      <w:r>
        <w:rPr>
          <w:rFonts w:hint="eastAsia" w:ascii="微软雅黑" w:hAnsi="微软雅黑" w:eastAsia="微软雅黑" w:cs="微软雅黑"/>
          <w:color w:val="FF0000"/>
          <w:sz w:val="21"/>
          <w:szCs w:val="21"/>
          <w:lang w:eastAsia="zh-CN"/>
        </w:rPr>
        <w:t>。</w:t>
      </w:r>
    </w:p>
    <w:p>
      <w:p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该页面展示产品承诺采购量上报已审核列表页面：</w:t>
      </w:r>
    </w:p>
    <w:p>
      <w:pPr>
        <w:rPr>
          <w:rFonts w:hint="eastAsia" w:ascii="微软雅黑" w:hAnsi="微软雅黑" w:eastAsia="微软雅黑" w:cs="微软雅黑"/>
          <w:lang w:val="en-US" w:eastAsia="zh-CN"/>
        </w:rPr>
      </w:pPr>
      <w:r>
        <w:drawing>
          <wp:inline distT="0" distB="0" distL="114300" distR="114300">
            <wp:extent cx="6472555" cy="2602865"/>
            <wp:effectExtent l="0" t="0" r="4445" b="6985"/>
            <wp:docPr id="2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6"/>
                    <pic:cNvPicPr>
                      <a:picLocks noChangeAspect="1"/>
                    </pic:cNvPicPr>
                  </pic:nvPicPr>
                  <pic:blipFill>
                    <a:blip r:embed="rId20"/>
                    <a:stretch>
                      <a:fillRect/>
                    </a:stretch>
                  </pic:blipFill>
                  <pic:spPr>
                    <a:xfrm>
                      <a:off x="0" y="0"/>
                      <a:ext cx="6472555" cy="2602865"/>
                    </a:xfrm>
                    <a:prstGeom prst="rect">
                      <a:avLst/>
                    </a:prstGeom>
                    <a:noFill/>
                    <a:ln>
                      <a:noFill/>
                    </a:ln>
                  </pic:spPr>
                </pic:pic>
              </a:graphicData>
            </a:graphic>
          </wp:inline>
        </w:drawing>
      </w:r>
    </w:p>
    <w:p>
      <w:pPr>
        <w:rPr>
          <w:rFonts w:hint="default" w:ascii="微软雅黑" w:hAnsi="微软雅黑" w:eastAsia="微软雅黑" w:cs="微软雅黑"/>
          <w:color w:val="FF0000"/>
          <w:sz w:val="21"/>
          <w:szCs w:val="21"/>
          <w:lang w:val="en-US" w:eastAsia="zh-CN"/>
        </w:rPr>
      </w:pPr>
      <w:r>
        <w:rPr>
          <w:rFonts w:hint="eastAsia" w:ascii="微软雅黑" w:hAnsi="微软雅黑" w:eastAsia="微软雅黑" w:cs="微软雅黑"/>
          <w:color w:val="FF0000"/>
          <w:sz w:val="21"/>
          <w:szCs w:val="21"/>
        </w:rPr>
        <w:t>注意：审核通过</w:t>
      </w:r>
      <w:r>
        <w:rPr>
          <w:rFonts w:hint="eastAsia" w:ascii="微软雅黑" w:hAnsi="微软雅黑" w:eastAsia="微软雅黑" w:cs="微软雅黑"/>
          <w:color w:val="FF0000"/>
          <w:sz w:val="21"/>
          <w:szCs w:val="21"/>
          <w:lang w:val="en-US" w:eastAsia="zh-CN"/>
        </w:rPr>
        <w:t>后</w:t>
      </w:r>
      <w:r>
        <w:rPr>
          <w:rFonts w:hint="eastAsia" w:ascii="微软雅黑" w:hAnsi="微软雅黑" w:eastAsia="微软雅黑" w:cs="微软雅黑"/>
          <w:color w:val="FF0000"/>
          <w:sz w:val="21"/>
          <w:szCs w:val="21"/>
        </w:rPr>
        <w:t>撤销审核，医疗机构需要重新上报采购量，才能重新审核</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rPr>
        <w:t>撤销审核的直接回到医院</w:t>
      </w:r>
      <w:r>
        <w:rPr>
          <w:rFonts w:hint="eastAsia" w:ascii="微软雅黑" w:hAnsi="微软雅黑" w:eastAsia="微软雅黑" w:cs="微软雅黑"/>
          <w:color w:val="FF0000"/>
          <w:sz w:val="21"/>
          <w:szCs w:val="21"/>
          <w:lang w:val="en-US" w:eastAsia="zh-CN"/>
        </w:rPr>
        <w:t>端</w:t>
      </w:r>
      <w:r>
        <w:rPr>
          <w:rFonts w:hint="eastAsia" w:ascii="微软雅黑" w:hAnsi="微软雅黑" w:eastAsia="微软雅黑" w:cs="微软雅黑"/>
          <w:color w:val="FF0000"/>
          <w:sz w:val="21"/>
          <w:szCs w:val="21"/>
        </w:rPr>
        <w:t>重新提交</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rPr>
        <w:t> 未审核里</w:t>
      </w:r>
      <w:r>
        <w:rPr>
          <w:rFonts w:hint="eastAsia" w:ascii="微软雅黑" w:hAnsi="微软雅黑" w:eastAsia="微软雅黑" w:cs="微软雅黑"/>
          <w:color w:val="FF0000"/>
          <w:sz w:val="21"/>
          <w:szCs w:val="21"/>
          <w:lang w:val="en-US" w:eastAsia="zh-CN"/>
        </w:rPr>
        <w:t>无记录。</w:t>
      </w:r>
    </w:p>
    <w:p>
      <w:pPr>
        <w:widowControl w:val="0"/>
        <w:numPr>
          <w:ilvl w:val="0"/>
          <w:numId w:val="0"/>
        </w:numPr>
        <w:tabs>
          <w:tab w:val="left" w:pos="312"/>
        </w:tabs>
        <w:jc w:val="both"/>
      </w:pPr>
    </w:p>
    <w:p>
      <w:pPr>
        <w:widowControl w:val="0"/>
        <w:numPr>
          <w:ilvl w:val="0"/>
          <w:numId w:val="0"/>
        </w:numPr>
        <w:tabs>
          <w:tab w:val="left" w:pos="312"/>
        </w:tabs>
        <w:jc w:val="both"/>
        <w:rPr>
          <w:rFonts w:hint="eastAsia" w:eastAsia="宋体"/>
          <w:lang w:val="en-US" w:eastAsia="zh-CN"/>
        </w:rPr>
      </w:pPr>
    </w:p>
    <w:p>
      <w:pPr>
        <w:widowControl w:val="0"/>
        <w:numPr>
          <w:ilvl w:val="0"/>
          <w:numId w:val="0"/>
        </w:numPr>
        <w:tabs>
          <w:tab w:val="left" w:pos="312"/>
        </w:tabs>
        <w:jc w:val="both"/>
        <w:rPr>
          <w:rFonts w:hint="eastAsia" w:ascii="微软雅黑" w:hAnsi="微软雅黑" w:eastAsia="微软雅黑" w:cs="微软雅黑"/>
          <w:lang w:val="en-US" w:eastAsia="zh-CN"/>
        </w:rPr>
      </w:pPr>
    </w:p>
    <w:sectPr>
      <w:pgSz w:w="11906" w:h="16838"/>
      <w:pgMar w:top="567" w:right="850" w:bottom="567" w:left="85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DejaVu Sans">
    <w:altName w:val="Ebrima"/>
    <w:panose1 w:val="00000000000000000000"/>
    <w:charset w:val="00"/>
    <w:family w:val="roman"/>
    <w:pitch w:val="default"/>
    <w:sig w:usb0="00000000" w:usb1="00000000" w:usb2="00000008" w:usb3="00000000" w:csb0="000001FF" w:csb1="00000000"/>
  </w:font>
  <w:font w:name="方正黑体_GBK">
    <w:altName w:val="微软雅黑"/>
    <w:panose1 w:val="00000000000000000000"/>
    <w:charset w:val="00"/>
    <w:family w:val="auto"/>
    <w:pitch w:val="default"/>
    <w:sig w:usb0="00000000" w:usb1="00000000" w:usb2="00000000" w:usb3="00000000" w:csb0="00040000" w:csb1="00000000"/>
  </w:font>
  <w:font w:name="Ebrima">
    <w:panose1 w:val="02000000000000000000"/>
    <w:charset w:val="00"/>
    <w:family w:val="auto"/>
    <w:pitch w:val="default"/>
    <w:sig w:usb0="A000505F" w:usb1="02000041" w:usb2="00000800" w:usb3="00000404"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8DD01F"/>
    <w:multiLevelType w:val="singleLevel"/>
    <w:tmpl w:val="818DD01F"/>
    <w:lvl w:ilvl="0" w:tentative="0">
      <w:start w:val="1"/>
      <w:numFmt w:val="decimal"/>
      <w:suff w:val="nothing"/>
      <w:lvlText w:val="%1、"/>
      <w:lvlJc w:val="left"/>
    </w:lvl>
  </w:abstractNum>
  <w:abstractNum w:abstractNumId="1">
    <w:nsid w:val="B179B832"/>
    <w:multiLevelType w:val="singleLevel"/>
    <w:tmpl w:val="B179B832"/>
    <w:lvl w:ilvl="0" w:tentative="0">
      <w:start w:val="1"/>
      <w:numFmt w:val="decimal"/>
      <w:lvlText w:val="%1."/>
      <w:lvlJc w:val="left"/>
      <w:pPr>
        <w:ind w:left="425" w:hanging="425"/>
      </w:pPr>
      <w:rPr>
        <w:rFonts w:hint="default"/>
      </w:rPr>
    </w:lvl>
  </w:abstractNum>
  <w:abstractNum w:abstractNumId="2">
    <w:nsid w:val="CFDB85DF"/>
    <w:multiLevelType w:val="singleLevel"/>
    <w:tmpl w:val="CFDB85DF"/>
    <w:lvl w:ilvl="0" w:tentative="0">
      <w:start w:val="1"/>
      <w:numFmt w:val="bullet"/>
      <w:lvlText w:val=""/>
      <w:lvlJc w:val="left"/>
      <w:pPr>
        <w:ind w:left="420" w:hanging="420"/>
      </w:pPr>
      <w:rPr>
        <w:rFonts w:hint="default" w:ascii="Wingdings" w:hAnsi="Wingdings"/>
        <w:color w:val="000000" w:themeColor="text1"/>
        <w14:textFill>
          <w14:solidFill>
            <w14:schemeClr w14:val="tx1"/>
          </w14:solidFill>
        </w14:textFill>
      </w:rPr>
    </w:lvl>
  </w:abstractNum>
  <w:abstractNum w:abstractNumId="3">
    <w:nsid w:val="E457508E"/>
    <w:multiLevelType w:val="singleLevel"/>
    <w:tmpl w:val="E457508E"/>
    <w:lvl w:ilvl="0" w:tentative="0">
      <w:start w:val="1"/>
      <w:numFmt w:val="decimal"/>
      <w:lvlText w:val="%1."/>
      <w:lvlJc w:val="left"/>
      <w:pPr>
        <w:ind w:left="425" w:hanging="425"/>
      </w:pPr>
      <w:rPr>
        <w:rFonts w:hint="default"/>
      </w:rPr>
    </w:lvl>
  </w:abstractNum>
  <w:abstractNum w:abstractNumId="4">
    <w:nsid w:val="13677528"/>
    <w:multiLevelType w:val="singleLevel"/>
    <w:tmpl w:val="13677528"/>
    <w:lvl w:ilvl="0" w:tentative="0">
      <w:start w:val="3"/>
      <w:numFmt w:val="chineseCounting"/>
      <w:suff w:val="space"/>
      <w:lvlText w:val="第%1章"/>
      <w:lvlJc w:val="left"/>
      <w:rPr>
        <w:rFonts w:hint="eastAsia"/>
      </w:rPr>
    </w:lvl>
  </w:abstractNum>
  <w:abstractNum w:abstractNumId="5">
    <w:nsid w:val="2BF0E3B4"/>
    <w:multiLevelType w:val="singleLevel"/>
    <w:tmpl w:val="2BF0E3B4"/>
    <w:lvl w:ilvl="0" w:tentative="0">
      <w:start w:val="1"/>
      <w:numFmt w:val="bullet"/>
      <w:lvlText w:val=""/>
      <w:lvlJc w:val="left"/>
      <w:pPr>
        <w:ind w:left="420" w:hanging="420"/>
      </w:pPr>
      <w:rPr>
        <w:rFonts w:hint="default" w:ascii="Wingdings" w:hAnsi="Wingdings"/>
      </w:r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A2NTg3ZjFmNWY1Y2Q0ZWQ2NzU1NGRjYzY4OWVhNDQifQ=="/>
  </w:docVars>
  <w:rsids>
    <w:rsidRoot w:val="00CE0CBE"/>
    <w:rsid w:val="00002EED"/>
    <w:rsid w:val="00003B0E"/>
    <w:rsid w:val="00003B79"/>
    <w:rsid w:val="00004DE6"/>
    <w:rsid w:val="00007214"/>
    <w:rsid w:val="00007C96"/>
    <w:rsid w:val="00012222"/>
    <w:rsid w:val="00017C81"/>
    <w:rsid w:val="00031E4C"/>
    <w:rsid w:val="0004673F"/>
    <w:rsid w:val="000500E4"/>
    <w:rsid w:val="00061528"/>
    <w:rsid w:val="000645CD"/>
    <w:rsid w:val="000667EB"/>
    <w:rsid w:val="00072B57"/>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5246"/>
    <w:rsid w:val="00426FFE"/>
    <w:rsid w:val="00431EE1"/>
    <w:rsid w:val="00432C1E"/>
    <w:rsid w:val="004347C9"/>
    <w:rsid w:val="00446CFB"/>
    <w:rsid w:val="00450430"/>
    <w:rsid w:val="004545DB"/>
    <w:rsid w:val="00460893"/>
    <w:rsid w:val="00485FF8"/>
    <w:rsid w:val="00495A95"/>
    <w:rsid w:val="00497273"/>
    <w:rsid w:val="00497404"/>
    <w:rsid w:val="004A6C64"/>
    <w:rsid w:val="004B371D"/>
    <w:rsid w:val="004B6B95"/>
    <w:rsid w:val="004E1FB9"/>
    <w:rsid w:val="004E28BA"/>
    <w:rsid w:val="004E67EE"/>
    <w:rsid w:val="004E70C8"/>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CCA"/>
    <w:rsid w:val="00782261"/>
    <w:rsid w:val="00783172"/>
    <w:rsid w:val="007832ED"/>
    <w:rsid w:val="00786062"/>
    <w:rsid w:val="00796A29"/>
    <w:rsid w:val="007B2A25"/>
    <w:rsid w:val="007B406A"/>
    <w:rsid w:val="007B65B9"/>
    <w:rsid w:val="007C52E8"/>
    <w:rsid w:val="007C7E78"/>
    <w:rsid w:val="007D06EE"/>
    <w:rsid w:val="007D0CDA"/>
    <w:rsid w:val="007D2DF2"/>
    <w:rsid w:val="007E05F5"/>
    <w:rsid w:val="007E39C7"/>
    <w:rsid w:val="007E48DD"/>
    <w:rsid w:val="007E5759"/>
    <w:rsid w:val="007E6997"/>
    <w:rsid w:val="007F6199"/>
    <w:rsid w:val="00801E00"/>
    <w:rsid w:val="00802F2F"/>
    <w:rsid w:val="008032CF"/>
    <w:rsid w:val="00812AF4"/>
    <w:rsid w:val="008148ED"/>
    <w:rsid w:val="008149BF"/>
    <w:rsid w:val="00814F7F"/>
    <w:rsid w:val="008161F9"/>
    <w:rsid w:val="008173BB"/>
    <w:rsid w:val="008319A3"/>
    <w:rsid w:val="00835A10"/>
    <w:rsid w:val="00842878"/>
    <w:rsid w:val="008441F6"/>
    <w:rsid w:val="00854DFF"/>
    <w:rsid w:val="00861A42"/>
    <w:rsid w:val="00866562"/>
    <w:rsid w:val="00870685"/>
    <w:rsid w:val="00871398"/>
    <w:rsid w:val="008741EC"/>
    <w:rsid w:val="0088036E"/>
    <w:rsid w:val="00885AA8"/>
    <w:rsid w:val="00890C47"/>
    <w:rsid w:val="0089392F"/>
    <w:rsid w:val="0089484A"/>
    <w:rsid w:val="008958E0"/>
    <w:rsid w:val="008973CB"/>
    <w:rsid w:val="008A1ABB"/>
    <w:rsid w:val="008A3DE6"/>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4CFF"/>
    <w:rsid w:val="00965293"/>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7A1A"/>
    <w:rsid w:val="00B17B6F"/>
    <w:rsid w:val="00B33DD0"/>
    <w:rsid w:val="00B3754B"/>
    <w:rsid w:val="00B40E5E"/>
    <w:rsid w:val="00B51A8D"/>
    <w:rsid w:val="00B64130"/>
    <w:rsid w:val="00B64DDB"/>
    <w:rsid w:val="00B67F23"/>
    <w:rsid w:val="00B7302E"/>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638B"/>
    <w:rsid w:val="00BD1004"/>
    <w:rsid w:val="00BD4868"/>
    <w:rsid w:val="00BD7E09"/>
    <w:rsid w:val="00BE3C29"/>
    <w:rsid w:val="00BE40CE"/>
    <w:rsid w:val="00BF5B2E"/>
    <w:rsid w:val="00C0101A"/>
    <w:rsid w:val="00C02A83"/>
    <w:rsid w:val="00C04F1A"/>
    <w:rsid w:val="00C137B9"/>
    <w:rsid w:val="00C1517E"/>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F3CB8"/>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F0537"/>
    <w:rsid w:val="00EF0C1A"/>
    <w:rsid w:val="00EF4788"/>
    <w:rsid w:val="00EF6C2C"/>
    <w:rsid w:val="00F03284"/>
    <w:rsid w:val="00F04576"/>
    <w:rsid w:val="00F07894"/>
    <w:rsid w:val="00F126DA"/>
    <w:rsid w:val="00F1306E"/>
    <w:rsid w:val="00F14158"/>
    <w:rsid w:val="00F16990"/>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D7B"/>
    <w:rsid w:val="00FE1379"/>
    <w:rsid w:val="00FE1ED8"/>
    <w:rsid w:val="00FE3574"/>
    <w:rsid w:val="00FE3654"/>
    <w:rsid w:val="01650BDB"/>
    <w:rsid w:val="02016DA2"/>
    <w:rsid w:val="02905D63"/>
    <w:rsid w:val="03E908F2"/>
    <w:rsid w:val="0563447D"/>
    <w:rsid w:val="06C1554D"/>
    <w:rsid w:val="07467D6C"/>
    <w:rsid w:val="07FB5E45"/>
    <w:rsid w:val="082B16FC"/>
    <w:rsid w:val="09B270CF"/>
    <w:rsid w:val="0AE26040"/>
    <w:rsid w:val="0AE307DE"/>
    <w:rsid w:val="0B4A4538"/>
    <w:rsid w:val="0B6CB9D0"/>
    <w:rsid w:val="0C1D48D6"/>
    <w:rsid w:val="0C31D61D"/>
    <w:rsid w:val="0CDF2565"/>
    <w:rsid w:val="0DC4760E"/>
    <w:rsid w:val="0DFB3C10"/>
    <w:rsid w:val="0E685611"/>
    <w:rsid w:val="0F0C1453"/>
    <w:rsid w:val="0F5A5F19"/>
    <w:rsid w:val="0F8C2665"/>
    <w:rsid w:val="0F975231"/>
    <w:rsid w:val="0F98AB21"/>
    <w:rsid w:val="0FA3BF19"/>
    <w:rsid w:val="0FC1070A"/>
    <w:rsid w:val="0FFF563A"/>
    <w:rsid w:val="0FFF9643"/>
    <w:rsid w:val="108955CB"/>
    <w:rsid w:val="11C056FD"/>
    <w:rsid w:val="12403633"/>
    <w:rsid w:val="12CE5504"/>
    <w:rsid w:val="12E76644"/>
    <w:rsid w:val="132461F6"/>
    <w:rsid w:val="13B9283A"/>
    <w:rsid w:val="13D7310B"/>
    <w:rsid w:val="14B0678E"/>
    <w:rsid w:val="14DE2FFF"/>
    <w:rsid w:val="14F709FA"/>
    <w:rsid w:val="15783359"/>
    <w:rsid w:val="15B21E1D"/>
    <w:rsid w:val="15F50AEF"/>
    <w:rsid w:val="17DD2095"/>
    <w:rsid w:val="17FF61E9"/>
    <w:rsid w:val="1832048F"/>
    <w:rsid w:val="1977EF1C"/>
    <w:rsid w:val="1A4D4414"/>
    <w:rsid w:val="1AA02932"/>
    <w:rsid w:val="1B5F4309"/>
    <w:rsid w:val="1B850AE0"/>
    <w:rsid w:val="1C1A13B0"/>
    <w:rsid w:val="1CC02AF3"/>
    <w:rsid w:val="1CD1385C"/>
    <w:rsid w:val="1CE54399"/>
    <w:rsid w:val="1D341B1B"/>
    <w:rsid w:val="1E2C7696"/>
    <w:rsid w:val="1E4546F1"/>
    <w:rsid w:val="1F3FAC13"/>
    <w:rsid w:val="1F6F872B"/>
    <w:rsid w:val="1FD698DE"/>
    <w:rsid w:val="1FF1ED6F"/>
    <w:rsid w:val="20DE00A9"/>
    <w:rsid w:val="22F40DED"/>
    <w:rsid w:val="23661620"/>
    <w:rsid w:val="23BF1685"/>
    <w:rsid w:val="26545470"/>
    <w:rsid w:val="267BE8C6"/>
    <w:rsid w:val="273697FC"/>
    <w:rsid w:val="279E193D"/>
    <w:rsid w:val="27AE0BD7"/>
    <w:rsid w:val="27DAD983"/>
    <w:rsid w:val="28FF7BE5"/>
    <w:rsid w:val="293F3D14"/>
    <w:rsid w:val="296D2A1A"/>
    <w:rsid w:val="29E741B6"/>
    <w:rsid w:val="2A384142"/>
    <w:rsid w:val="2A5C5603"/>
    <w:rsid w:val="2B1F890E"/>
    <w:rsid w:val="2B7803BF"/>
    <w:rsid w:val="2BB64315"/>
    <w:rsid w:val="2BEBF4B7"/>
    <w:rsid w:val="2BEE80F4"/>
    <w:rsid w:val="2BFD3B96"/>
    <w:rsid w:val="2DB7F7A7"/>
    <w:rsid w:val="2E8B43F8"/>
    <w:rsid w:val="2F25C44B"/>
    <w:rsid w:val="2F3C628D"/>
    <w:rsid w:val="2F471B2E"/>
    <w:rsid w:val="2F5536BA"/>
    <w:rsid w:val="2F97F122"/>
    <w:rsid w:val="2FAAE5C9"/>
    <w:rsid w:val="2FAFC1E7"/>
    <w:rsid w:val="2FBFED4C"/>
    <w:rsid w:val="2FFF8519"/>
    <w:rsid w:val="2FFFD1C2"/>
    <w:rsid w:val="306FBDB6"/>
    <w:rsid w:val="317B2F63"/>
    <w:rsid w:val="31B66184"/>
    <w:rsid w:val="31EB57FD"/>
    <w:rsid w:val="322370F1"/>
    <w:rsid w:val="327E7098"/>
    <w:rsid w:val="32DB1F66"/>
    <w:rsid w:val="3321170B"/>
    <w:rsid w:val="33296E4A"/>
    <w:rsid w:val="339F16F5"/>
    <w:rsid w:val="33F72D7C"/>
    <w:rsid w:val="33F78765"/>
    <w:rsid w:val="33FFA7EE"/>
    <w:rsid w:val="33FFAB5F"/>
    <w:rsid w:val="34ED00E4"/>
    <w:rsid w:val="34FF8978"/>
    <w:rsid w:val="35EC6319"/>
    <w:rsid w:val="367CD8D3"/>
    <w:rsid w:val="36FC3301"/>
    <w:rsid w:val="377D432C"/>
    <w:rsid w:val="37AB2E10"/>
    <w:rsid w:val="37C37D9B"/>
    <w:rsid w:val="37D9DD71"/>
    <w:rsid w:val="37FA9E1B"/>
    <w:rsid w:val="37FB18C9"/>
    <w:rsid w:val="37FED78F"/>
    <w:rsid w:val="382114F8"/>
    <w:rsid w:val="38F52252"/>
    <w:rsid w:val="39534116"/>
    <w:rsid w:val="39596C09"/>
    <w:rsid w:val="39BB7405"/>
    <w:rsid w:val="39D81434"/>
    <w:rsid w:val="39FE0549"/>
    <w:rsid w:val="39FEBF02"/>
    <w:rsid w:val="3AAFBAF0"/>
    <w:rsid w:val="3AC7B4E4"/>
    <w:rsid w:val="3B207997"/>
    <w:rsid w:val="3B445E3C"/>
    <w:rsid w:val="3B5F2EB0"/>
    <w:rsid w:val="3B6613A3"/>
    <w:rsid w:val="3B778599"/>
    <w:rsid w:val="3B7B0F95"/>
    <w:rsid w:val="3B7CFF68"/>
    <w:rsid w:val="3B9CAC42"/>
    <w:rsid w:val="3BBF78DD"/>
    <w:rsid w:val="3BF93724"/>
    <w:rsid w:val="3C0F7ECB"/>
    <w:rsid w:val="3C5FF9D9"/>
    <w:rsid w:val="3C7F4DDE"/>
    <w:rsid w:val="3C863428"/>
    <w:rsid w:val="3C8DA61A"/>
    <w:rsid w:val="3CEE6262"/>
    <w:rsid w:val="3D1938E7"/>
    <w:rsid w:val="3D3786AA"/>
    <w:rsid w:val="3D3FDBEB"/>
    <w:rsid w:val="3D87263F"/>
    <w:rsid w:val="3DBE4804"/>
    <w:rsid w:val="3DBFF53F"/>
    <w:rsid w:val="3DDE3C71"/>
    <w:rsid w:val="3DFE0588"/>
    <w:rsid w:val="3EBE7F3F"/>
    <w:rsid w:val="3EDF5DCD"/>
    <w:rsid w:val="3EEDE8D9"/>
    <w:rsid w:val="3EEF745F"/>
    <w:rsid w:val="3EFE23CB"/>
    <w:rsid w:val="3EFE9875"/>
    <w:rsid w:val="3F3AA2F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B01288"/>
    <w:rsid w:val="41DC535C"/>
    <w:rsid w:val="42E56525"/>
    <w:rsid w:val="43763B68"/>
    <w:rsid w:val="43863566"/>
    <w:rsid w:val="43C875B2"/>
    <w:rsid w:val="44227313"/>
    <w:rsid w:val="44232BAA"/>
    <w:rsid w:val="447137A5"/>
    <w:rsid w:val="44873A6C"/>
    <w:rsid w:val="44C63809"/>
    <w:rsid w:val="44DF681D"/>
    <w:rsid w:val="45FCD7E6"/>
    <w:rsid w:val="46086D87"/>
    <w:rsid w:val="46696E2A"/>
    <w:rsid w:val="47DB580F"/>
    <w:rsid w:val="47EFB654"/>
    <w:rsid w:val="47F760E8"/>
    <w:rsid w:val="48891131"/>
    <w:rsid w:val="49BE3A33"/>
    <w:rsid w:val="49F7299F"/>
    <w:rsid w:val="49FEF80C"/>
    <w:rsid w:val="49FF8F59"/>
    <w:rsid w:val="4AB05D85"/>
    <w:rsid w:val="4B4F9DAB"/>
    <w:rsid w:val="4B659265"/>
    <w:rsid w:val="4BEFA816"/>
    <w:rsid w:val="4CF2A4B4"/>
    <w:rsid w:val="4D7DB703"/>
    <w:rsid w:val="4DF3B862"/>
    <w:rsid w:val="4E17779E"/>
    <w:rsid w:val="4E5E62AD"/>
    <w:rsid w:val="4E6B18BD"/>
    <w:rsid w:val="4EF431F4"/>
    <w:rsid w:val="4F6F7EDE"/>
    <w:rsid w:val="4F6FE9FE"/>
    <w:rsid w:val="4F7E33A1"/>
    <w:rsid w:val="4F7F4BA5"/>
    <w:rsid w:val="4FBF562A"/>
    <w:rsid w:val="4FDA4528"/>
    <w:rsid w:val="4FEDBD36"/>
    <w:rsid w:val="4FFED8BC"/>
    <w:rsid w:val="4FFF6EA2"/>
    <w:rsid w:val="4FFF822F"/>
    <w:rsid w:val="4FFFE988"/>
    <w:rsid w:val="4FFFF704"/>
    <w:rsid w:val="513A59E3"/>
    <w:rsid w:val="51670BFE"/>
    <w:rsid w:val="51744453"/>
    <w:rsid w:val="51FA1CCE"/>
    <w:rsid w:val="526F3C55"/>
    <w:rsid w:val="52DE77BD"/>
    <w:rsid w:val="52FD6484"/>
    <w:rsid w:val="534A155C"/>
    <w:rsid w:val="53567CED"/>
    <w:rsid w:val="536D16E2"/>
    <w:rsid w:val="53C96850"/>
    <w:rsid w:val="53FE38B2"/>
    <w:rsid w:val="53FF3A15"/>
    <w:rsid w:val="54639AD8"/>
    <w:rsid w:val="54D77E53"/>
    <w:rsid w:val="55A71887"/>
    <w:rsid w:val="56E6508B"/>
    <w:rsid w:val="56FD7EE9"/>
    <w:rsid w:val="56FE43E3"/>
    <w:rsid w:val="56FF9EB4"/>
    <w:rsid w:val="57A41604"/>
    <w:rsid w:val="57AD94AD"/>
    <w:rsid w:val="57BDD857"/>
    <w:rsid w:val="57D9612B"/>
    <w:rsid w:val="57DF1E22"/>
    <w:rsid w:val="57EF1799"/>
    <w:rsid w:val="581736A2"/>
    <w:rsid w:val="586B4837"/>
    <w:rsid w:val="58DF8E6B"/>
    <w:rsid w:val="59A114A8"/>
    <w:rsid w:val="59B88A99"/>
    <w:rsid w:val="59FFDBC0"/>
    <w:rsid w:val="5A86211B"/>
    <w:rsid w:val="5AEF1B39"/>
    <w:rsid w:val="5B45263B"/>
    <w:rsid w:val="5B4D3980"/>
    <w:rsid w:val="5BBFB4FD"/>
    <w:rsid w:val="5BDBCBE9"/>
    <w:rsid w:val="5BDFBFA6"/>
    <w:rsid w:val="5BFB154B"/>
    <w:rsid w:val="5BFB4AB3"/>
    <w:rsid w:val="5BFB6F54"/>
    <w:rsid w:val="5C3BB014"/>
    <w:rsid w:val="5C7B432B"/>
    <w:rsid w:val="5C7EC61A"/>
    <w:rsid w:val="5CBE0A15"/>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39FB4"/>
    <w:rsid w:val="5EFD878C"/>
    <w:rsid w:val="5EFEE832"/>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1A33E0C"/>
    <w:rsid w:val="622374C1"/>
    <w:rsid w:val="6286068C"/>
    <w:rsid w:val="62BF314D"/>
    <w:rsid w:val="63882A57"/>
    <w:rsid w:val="63B06626"/>
    <w:rsid w:val="63F6A059"/>
    <w:rsid w:val="63FA17DF"/>
    <w:rsid w:val="645F13ED"/>
    <w:rsid w:val="656126EE"/>
    <w:rsid w:val="65E5F257"/>
    <w:rsid w:val="66B3142B"/>
    <w:rsid w:val="673B1B0E"/>
    <w:rsid w:val="677E174E"/>
    <w:rsid w:val="67BC3C99"/>
    <w:rsid w:val="67BE00C0"/>
    <w:rsid w:val="67FF2A2E"/>
    <w:rsid w:val="67FF4ADD"/>
    <w:rsid w:val="68431D28"/>
    <w:rsid w:val="6885769C"/>
    <w:rsid w:val="68F3D5A5"/>
    <w:rsid w:val="6908327D"/>
    <w:rsid w:val="69D55CD5"/>
    <w:rsid w:val="69DFB2A8"/>
    <w:rsid w:val="6A7AF103"/>
    <w:rsid w:val="6A7FCF72"/>
    <w:rsid w:val="6AB056BF"/>
    <w:rsid w:val="6B3F68E0"/>
    <w:rsid w:val="6B7F0474"/>
    <w:rsid w:val="6B9F3BBE"/>
    <w:rsid w:val="6BAA5D32"/>
    <w:rsid w:val="6BD71E65"/>
    <w:rsid w:val="6BDFEC08"/>
    <w:rsid w:val="6BFF2FDB"/>
    <w:rsid w:val="6BFFA27A"/>
    <w:rsid w:val="6BFFC60F"/>
    <w:rsid w:val="6BFFD98F"/>
    <w:rsid w:val="6D230618"/>
    <w:rsid w:val="6D7FA9E2"/>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FB40D5"/>
    <w:rsid w:val="70FEB454"/>
    <w:rsid w:val="713C71BE"/>
    <w:rsid w:val="713F9813"/>
    <w:rsid w:val="71D79F0E"/>
    <w:rsid w:val="71DDB310"/>
    <w:rsid w:val="71F64D1A"/>
    <w:rsid w:val="71FEA857"/>
    <w:rsid w:val="72E02845"/>
    <w:rsid w:val="731D82A1"/>
    <w:rsid w:val="732613FE"/>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DEEC43"/>
    <w:rsid w:val="75EF3A00"/>
    <w:rsid w:val="75EFC8A5"/>
    <w:rsid w:val="75FB3666"/>
    <w:rsid w:val="75FC7248"/>
    <w:rsid w:val="75FD42BB"/>
    <w:rsid w:val="766B9441"/>
    <w:rsid w:val="767A6FDE"/>
    <w:rsid w:val="767B60E7"/>
    <w:rsid w:val="76AEDC26"/>
    <w:rsid w:val="76BE75E2"/>
    <w:rsid w:val="76DA9A1D"/>
    <w:rsid w:val="76DFE1B9"/>
    <w:rsid w:val="76E6F858"/>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CB6ED9"/>
    <w:rsid w:val="79EB634D"/>
    <w:rsid w:val="79EE840C"/>
    <w:rsid w:val="79EF1146"/>
    <w:rsid w:val="79FEB9BE"/>
    <w:rsid w:val="7A33238D"/>
    <w:rsid w:val="7A4F716E"/>
    <w:rsid w:val="7A587E80"/>
    <w:rsid w:val="7A7CCA62"/>
    <w:rsid w:val="7ABD27F4"/>
    <w:rsid w:val="7ADC0BED"/>
    <w:rsid w:val="7AFB44D6"/>
    <w:rsid w:val="7AFD2628"/>
    <w:rsid w:val="7B1F4BA4"/>
    <w:rsid w:val="7B329ECC"/>
    <w:rsid w:val="7B58A838"/>
    <w:rsid w:val="7B672338"/>
    <w:rsid w:val="7B730361"/>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4DD0BE"/>
    <w:rsid w:val="7E7AD478"/>
    <w:rsid w:val="7E7E7324"/>
    <w:rsid w:val="7EA5A3CA"/>
    <w:rsid w:val="7EB5268E"/>
    <w:rsid w:val="7EB7FD42"/>
    <w:rsid w:val="7EBBE957"/>
    <w:rsid w:val="7EBE9620"/>
    <w:rsid w:val="7ED75507"/>
    <w:rsid w:val="7EFE366E"/>
    <w:rsid w:val="7EFE4C73"/>
    <w:rsid w:val="7EFF21C6"/>
    <w:rsid w:val="7EFF715F"/>
    <w:rsid w:val="7EFFD774"/>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2212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2"/>
    <w:qFormat/>
    <w:uiPriority w:val="9"/>
    <w:pPr>
      <w:keepNext/>
      <w:keepLines/>
      <w:spacing w:before="260" w:after="260" w:line="416" w:lineRule="auto"/>
      <w:outlineLvl w:val="2"/>
    </w:pPr>
    <w:rPr>
      <w:rFonts w:eastAsia="微软雅黑"/>
      <w:b/>
      <w:bCs/>
      <w:sz w:val="32"/>
      <w:szCs w:val="32"/>
    </w:rPr>
  </w:style>
  <w:style w:type="paragraph" w:styleId="5">
    <w:name w:val="heading 4"/>
    <w:basedOn w:val="1"/>
    <w:next w:val="1"/>
    <w:qFormat/>
    <w:uiPriority w:val="0"/>
    <w:pPr>
      <w:keepNext/>
      <w:keepLines/>
      <w:spacing w:before="280" w:after="290" w:line="372" w:lineRule="auto"/>
      <w:outlineLvl w:val="3"/>
    </w:pPr>
    <w:rPr>
      <w:rFonts w:ascii="DejaVu Sans" w:hAnsi="DejaVu Sans" w:eastAsia="方正黑体_GBK"/>
      <w:b/>
      <w:sz w:val="28"/>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semiHidden/>
    <w:qFormat/>
    <w:uiPriority w:val="0"/>
    <w:pPr>
      <w:jc w:val="left"/>
    </w:pPr>
  </w:style>
  <w:style w:type="paragraph" w:styleId="8">
    <w:name w:val="toc 3"/>
    <w:basedOn w:val="1"/>
    <w:next w:val="1"/>
    <w:qFormat/>
    <w:uiPriority w:val="39"/>
    <w:pPr>
      <w:ind w:left="840" w:leftChars="400"/>
    </w:pPr>
  </w:style>
  <w:style w:type="paragraph" w:styleId="9">
    <w:name w:val="Balloon Text"/>
    <w:basedOn w:val="1"/>
    <w:semiHidden/>
    <w:qFormat/>
    <w:uiPriority w:val="0"/>
    <w:rPr>
      <w:sz w:val="18"/>
      <w:szCs w:val="18"/>
    </w:rPr>
  </w:style>
  <w:style w:type="paragraph" w:styleId="10">
    <w:name w:val="footer"/>
    <w:basedOn w:val="1"/>
    <w:link w:val="23"/>
    <w:qFormat/>
    <w:uiPriority w:val="0"/>
    <w:pPr>
      <w:tabs>
        <w:tab w:val="center" w:pos="4153"/>
        <w:tab w:val="right" w:pos="8306"/>
      </w:tabs>
      <w:snapToGrid w:val="0"/>
      <w:jc w:val="left"/>
    </w:pPr>
    <w:rPr>
      <w:sz w:val="18"/>
      <w:szCs w:val="18"/>
    </w:rPr>
  </w:style>
  <w:style w:type="paragraph" w:styleId="11">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toc 4"/>
    <w:basedOn w:val="1"/>
    <w:next w:val="1"/>
    <w:qFormat/>
    <w:uiPriority w:val="39"/>
    <w:pPr>
      <w:ind w:left="1260" w:leftChars="600"/>
    </w:pPr>
  </w:style>
  <w:style w:type="paragraph" w:styleId="14">
    <w:name w:val="toc 2"/>
    <w:basedOn w:val="1"/>
    <w:next w:val="1"/>
    <w:qFormat/>
    <w:uiPriority w:val="39"/>
    <w:pPr>
      <w:ind w:left="420" w:leftChars="200"/>
    </w:p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6">
    <w:name w:val="annotation subject"/>
    <w:basedOn w:val="7"/>
    <w:next w:val="7"/>
    <w:semiHidden/>
    <w:qFormat/>
    <w:uiPriority w:val="0"/>
    <w:rPr>
      <w:b/>
      <w:bCs/>
    </w:rPr>
  </w:style>
  <w:style w:type="character" w:styleId="19">
    <w:name w:val="FollowedHyperlink"/>
    <w:qFormat/>
    <w:uiPriority w:val="0"/>
    <w:rPr>
      <w:color w:val="800080"/>
      <w:u w:val="single"/>
    </w:rPr>
  </w:style>
  <w:style w:type="character" w:styleId="20">
    <w:name w:val="Hyperlink"/>
    <w:unhideWhenUsed/>
    <w:qFormat/>
    <w:uiPriority w:val="99"/>
    <w:rPr>
      <w:color w:val="0000FF"/>
      <w:u w:val="single"/>
    </w:rPr>
  </w:style>
  <w:style w:type="character" w:styleId="21">
    <w:name w:val="annotation reference"/>
    <w:semiHidden/>
    <w:qFormat/>
    <w:uiPriority w:val="0"/>
    <w:rPr>
      <w:sz w:val="21"/>
      <w:szCs w:val="21"/>
    </w:rPr>
  </w:style>
  <w:style w:type="character" w:customStyle="1" w:styleId="22">
    <w:name w:val="标题 3 字符"/>
    <w:link w:val="4"/>
    <w:qFormat/>
    <w:uiPriority w:val="9"/>
    <w:rPr>
      <w:rFonts w:ascii="Calibri" w:hAnsi="Calibri" w:eastAsia="微软雅黑"/>
      <w:b/>
      <w:bCs/>
      <w:kern w:val="2"/>
      <w:sz w:val="32"/>
      <w:szCs w:val="32"/>
    </w:rPr>
  </w:style>
  <w:style w:type="character" w:customStyle="1" w:styleId="23">
    <w:name w:val="页脚 字符"/>
    <w:link w:val="10"/>
    <w:qFormat/>
    <w:uiPriority w:val="0"/>
    <w:rPr>
      <w:rFonts w:ascii="Calibri" w:hAnsi="Calibri"/>
      <w:kern w:val="2"/>
      <w:sz w:val="18"/>
      <w:szCs w:val="18"/>
    </w:rPr>
  </w:style>
  <w:style w:type="character" w:customStyle="1" w:styleId="24">
    <w:name w:val="页眉 字符"/>
    <w:link w:val="11"/>
    <w:qFormat/>
    <w:uiPriority w:val="0"/>
    <w:rPr>
      <w:rFonts w:ascii="Calibri" w:hAnsi="Calibri"/>
      <w:kern w:val="2"/>
      <w:sz w:val="18"/>
      <w:szCs w:val="18"/>
    </w:rPr>
  </w:style>
  <w:style w:type="paragraph" w:customStyle="1" w:styleId="2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6">
    <w:name w:val="列出段落1"/>
    <w:basedOn w:val="1"/>
    <w:qFormat/>
    <w:uiPriority w:val="34"/>
    <w:pPr>
      <w:ind w:firstLine="420" w:firstLineChars="200"/>
    </w:pPr>
  </w:style>
  <w:style w:type="paragraph" w:customStyle="1" w:styleId="2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8">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2078</Words>
  <Characters>2259</Characters>
  <Lines>53</Lines>
  <Paragraphs>14</Paragraphs>
  <TotalTime>7</TotalTime>
  <ScaleCrop>false</ScaleCrop>
  <LinksUpToDate>false</LinksUpToDate>
  <CharactersWithSpaces>2327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2020-10-27T15:47:00Z</dcterms:created>
  <dc:creator>gfdgfd</dc:creator>
  <cp:lastModifiedBy>loading</cp:lastModifiedBy>
  <dcterms:modified xsi:type="dcterms:W3CDTF">2023-04-23T08:15:36Z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974200F3F1544AA6A9FCB6D62561DF9A</vt:lpwstr>
  </property>
</Properties>
</file>