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08ACE">
      <w:pPr>
        <w:jc w:val="center"/>
        <w:rPr>
          <w:rFonts w:hint="eastAsia"/>
          <w:sz w:val="48"/>
          <w:szCs w:val="48"/>
          <w:lang w:val="en-US" w:eastAsia="zh-CN"/>
        </w:rPr>
      </w:pPr>
    </w:p>
    <w:p w14:paraId="4CD2B705">
      <w:pPr>
        <w:jc w:val="center"/>
        <w:rPr>
          <w:rFonts w:hint="eastAsia"/>
          <w:sz w:val="44"/>
          <w:szCs w:val="44"/>
          <w:lang w:val="en-US" w:eastAsia="zh-CN"/>
        </w:rPr>
      </w:pPr>
      <w:r>
        <w:rPr>
          <w:rFonts w:hint="eastAsia"/>
          <w:sz w:val="48"/>
          <w:szCs w:val="48"/>
          <w:lang w:val="en-US" w:eastAsia="zh-CN"/>
        </w:rPr>
        <w:t>招采子系统中药招标管理（饮片、配方颗粒）操作手册</w:t>
      </w:r>
    </w:p>
    <w:p w14:paraId="386D8A8B">
      <w:pPr>
        <w:jc w:val="center"/>
        <w:rPr>
          <w:rFonts w:hint="default"/>
          <w:sz w:val="44"/>
          <w:szCs w:val="44"/>
          <w:lang w:val="en-US" w:eastAsia="zh-CN"/>
        </w:rPr>
      </w:pPr>
    </w:p>
    <w:p w14:paraId="2EEDA71B">
      <w:pPr>
        <w:jc w:val="center"/>
        <w:rPr>
          <w:rFonts w:hint="eastAsia"/>
          <w:sz w:val="36"/>
          <w:szCs w:val="36"/>
          <w:lang w:val="en-US" w:eastAsia="zh-CN"/>
        </w:rPr>
      </w:pPr>
      <w:r>
        <w:rPr>
          <w:rFonts w:hint="eastAsia"/>
          <w:sz w:val="36"/>
          <w:szCs w:val="36"/>
          <w:lang w:val="en-US" w:eastAsia="zh-CN"/>
        </w:rPr>
        <w:t>（生产企业端）</w:t>
      </w:r>
      <w:bookmarkStart w:id="14" w:name="_GoBack"/>
      <w:bookmarkEnd w:id="14"/>
    </w:p>
    <w:p w14:paraId="62484444">
      <w:pPr>
        <w:jc w:val="center"/>
        <w:rPr>
          <w:rFonts w:hint="eastAsia"/>
          <w:sz w:val="36"/>
          <w:szCs w:val="36"/>
          <w:lang w:val="en-US" w:eastAsia="zh-CN"/>
        </w:rPr>
      </w:pPr>
    </w:p>
    <w:p w14:paraId="69B3EFBE">
      <w:pPr>
        <w:jc w:val="center"/>
        <w:rPr>
          <w:rFonts w:hint="eastAsia"/>
          <w:sz w:val="36"/>
          <w:szCs w:val="36"/>
          <w:lang w:val="en-US" w:eastAsia="zh-CN"/>
        </w:rPr>
      </w:pPr>
    </w:p>
    <w:p w14:paraId="4B50A05E">
      <w:pPr>
        <w:jc w:val="center"/>
        <w:rPr>
          <w:rFonts w:hint="eastAsia"/>
          <w:sz w:val="36"/>
          <w:szCs w:val="36"/>
          <w:lang w:val="en-US" w:eastAsia="zh-CN"/>
        </w:rPr>
      </w:pPr>
    </w:p>
    <w:p w14:paraId="4C3AF0A2">
      <w:pPr>
        <w:jc w:val="center"/>
        <w:rPr>
          <w:rFonts w:hint="eastAsia"/>
          <w:sz w:val="36"/>
          <w:szCs w:val="36"/>
          <w:lang w:val="en-US" w:eastAsia="zh-CN"/>
        </w:rPr>
      </w:pPr>
    </w:p>
    <w:p w14:paraId="10977613">
      <w:pPr>
        <w:jc w:val="center"/>
        <w:rPr>
          <w:rFonts w:hint="eastAsia"/>
          <w:sz w:val="36"/>
          <w:szCs w:val="36"/>
          <w:lang w:val="en-US" w:eastAsia="zh-CN"/>
        </w:rPr>
      </w:pPr>
    </w:p>
    <w:p w14:paraId="604E547D">
      <w:pPr>
        <w:jc w:val="center"/>
        <w:rPr>
          <w:rFonts w:hint="eastAsia"/>
          <w:sz w:val="36"/>
          <w:szCs w:val="36"/>
          <w:lang w:val="en-US" w:eastAsia="zh-CN"/>
        </w:rPr>
      </w:pPr>
    </w:p>
    <w:p w14:paraId="40B24990">
      <w:pPr>
        <w:jc w:val="center"/>
        <w:rPr>
          <w:rFonts w:hint="eastAsia"/>
          <w:sz w:val="36"/>
          <w:szCs w:val="36"/>
          <w:lang w:val="en-US" w:eastAsia="zh-CN"/>
        </w:rPr>
      </w:pPr>
    </w:p>
    <w:p w14:paraId="2F94B442">
      <w:pPr>
        <w:jc w:val="center"/>
        <w:rPr>
          <w:rFonts w:hint="eastAsia"/>
          <w:sz w:val="36"/>
          <w:szCs w:val="36"/>
          <w:lang w:val="en-US" w:eastAsia="zh-CN"/>
        </w:rPr>
      </w:pPr>
    </w:p>
    <w:p w14:paraId="6580E3ED">
      <w:pPr>
        <w:jc w:val="both"/>
        <w:rPr>
          <w:rFonts w:hint="eastAsia"/>
          <w:sz w:val="36"/>
          <w:szCs w:val="36"/>
          <w:lang w:val="en-US" w:eastAsia="zh-CN"/>
        </w:rPr>
      </w:pPr>
    </w:p>
    <w:p w14:paraId="093FB071">
      <w:pPr>
        <w:jc w:val="both"/>
        <w:rPr>
          <w:rFonts w:hint="eastAsia"/>
          <w:sz w:val="36"/>
          <w:szCs w:val="36"/>
          <w:lang w:val="en-US" w:eastAsia="zh-CN"/>
        </w:rPr>
      </w:pPr>
    </w:p>
    <w:p w14:paraId="0C5408FF">
      <w:pPr>
        <w:jc w:val="center"/>
        <w:rPr>
          <w:rFonts w:hint="eastAsia"/>
          <w:sz w:val="36"/>
          <w:szCs w:val="36"/>
          <w:lang w:val="en-US" w:eastAsia="zh-CN"/>
        </w:rPr>
      </w:pPr>
    </w:p>
    <w:p w14:paraId="0F3AB377">
      <w:pPr>
        <w:jc w:val="center"/>
        <w:rPr>
          <w:rFonts w:hint="eastAsia"/>
          <w:sz w:val="36"/>
          <w:szCs w:val="36"/>
          <w:lang w:val="en-US" w:eastAsia="zh-CN"/>
        </w:rPr>
      </w:pPr>
    </w:p>
    <w:p w14:paraId="496CD0E7">
      <w:pPr>
        <w:jc w:val="center"/>
        <w:rPr>
          <w:rFonts w:hint="eastAsia"/>
          <w:sz w:val="36"/>
          <w:szCs w:val="36"/>
          <w:lang w:val="en-US" w:eastAsia="zh-CN"/>
        </w:rPr>
      </w:pPr>
    </w:p>
    <w:p w14:paraId="7768F13E">
      <w:pPr>
        <w:jc w:val="center"/>
        <w:rPr>
          <w:rFonts w:hint="default"/>
          <w:sz w:val="36"/>
          <w:szCs w:val="36"/>
          <w:lang w:val="en-US" w:eastAsia="zh-CN"/>
        </w:rPr>
      </w:pPr>
      <w:r>
        <w:rPr>
          <w:rFonts w:hint="eastAsia"/>
          <w:sz w:val="36"/>
          <w:szCs w:val="36"/>
          <w:lang w:val="en-US" w:eastAsia="zh-CN"/>
        </w:rPr>
        <w:t>2025年5月22日</w:t>
      </w:r>
    </w:p>
    <w:p w14:paraId="39F1BB54">
      <w:pPr>
        <w:jc w:val="center"/>
        <w:rPr>
          <w:rFonts w:hint="eastAsia"/>
          <w:sz w:val="36"/>
          <w:szCs w:val="36"/>
          <w:lang w:val="en-US" w:eastAsia="zh-CN"/>
        </w:rPr>
      </w:pPr>
    </w:p>
    <w:p w14:paraId="4F33890A">
      <w:pPr>
        <w:jc w:val="both"/>
        <w:rPr>
          <w:rFonts w:hint="eastAsia"/>
          <w:sz w:val="36"/>
          <w:szCs w:val="36"/>
          <w:lang w:val="en-US" w:eastAsia="zh-CN"/>
        </w:rPr>
      </w:pPr>
    </w:p>
    <w:p w14:paraId="33C271F0">
      <w:pPr>
        <w:jc w:val="both"/>
        <w:rPr>
          <w:rFonts w:hint="eastAsia"/>
          <w:sz w:val="36"/>
          <w:szCs w:val="36"/>
          <w:lang w:val="en-US" w:eastAsia="zh-CN"/>
        </w:rPr>
        <w:sectPr>
          <w:pgSz w:w="11906" w:h="16838"/>
          <w:pgMar w:top="1440" w:right="1800" w:bottom="1440" w:left="1800" w:header="851" w:footer="992" w:gutter="0"/>
          <w:cols w:space="425" w:num="1"/>
          <w:docGrid w:type="lines" w:linePitch="312" w:charSpace="0"/>
        </w:sectPr>
      </w:pPr>
    </w:p>
    <w:p w14:paraId="7747D465">
      <w:pPr>
        <w:jc w:val="both"/>
        <w:rPr>
          <w:rFonts w:hint="eastAsia"/>
          <w:sz w:val="36"/>
          <w:szCs w:val="36"/>
          <w:lang w:val="en-US" w:eastAsia="zh-CN"/>
        </w:rPr>
      </w:pPr>
    </w:p>
    <w:sdt>
      <w:sdtPr>
        <w:rPr>
          <w:rFonts w:hint="eastAsia" w:asciiTheme="majorEastAsia" w:hAnsiTheme="majorEastAsia" w:eastAsiaTheme="majorEastAsia" w:cstheme="majorEastAsia"/>
          <w:kern w:val="2"/>
          <w:sz w:val="28"/>
          <w:szCs w:val="28"/>
          <w:lang w:val="en-US" w:eastAsia="zh-CN" w:bidi="ar-SA"/>
        </w:rPr>
        <w:id w:val="391796160"/>
        <w15:color w:val="DBDBDB"/>
        <w:docPartObj>
          <w:docPartGallery w:val="Table of Contents"/>
          <w:docPartUnique/>
        </w:docPartObj>
      </w:sdtPr>
      <w:sdtEndPr>
        <w:rPr>
          <w:rFonts w:hint="eastAsia" w:asciiTheme="minorHAnsi" w:hAnsiTheme="minorHAnsi" w:eastAsiaTheme="minorEastAsia" w:cstheme="minorBidi"/>
          <w:kern w:val="2"/>
          <w:sz w:val="21"/>
          <w:szCs w:val="36"/>
          <w:lang w:val="en-US" w:eastAsia="zh-CN" w:bidi="ar-SA"/>
        </w:rPr>
      </w:sdtEndPr>
      <w:sdtContent>
        <w:p w14:paraId="49F35328">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目录</w:t>
          </w:r>
        </w:p>
        <w:p w14:paraId="2382C1E8">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TOC \o "1-3" \h \u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_Toc14417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1:系统登陆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_Toc14417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6CF2C5CB">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_Toc27426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2:配送方案结果管理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_Toc27426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4D72BEC">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_Toc28973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2.1配送方案点选（生产）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_Toc28973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75BEEFB">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_Toc28292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2.2配送方案管理（生产）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_Toc28292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2AF30F6">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_Toc18253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2.3配送产品关系（生产）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_Toc18253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06BD822">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_Toc3319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bCs/>
              <w:sz w:val="28"/>
              <w:szCs w:val="28"/>
              <w:lang w:val="en-US" w:eastAsia="zh-CN"/>
            </w:rPr>
            <w:t>2.4配送方案管理（配送）</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_Toc3319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BB9CB75">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_Toc17559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3:动态调整</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_Toc17559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162CCC40">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_Toc22993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3.1挂网状态和价格查询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_Toc22993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A2528FC">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_Toc9220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3.2挂网状态和价格调整申请</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_Toc9220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C568BA1">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_Toc11571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4：中药配方颗粒申报管理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_Toc11571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1AD3DCF">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_Toc2558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4.1：产品信息申报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_Toc2558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1D4699A">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_Toc15239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4.2：产品公开查询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_Toc15239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B846481">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_Toc31840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4.3产品公示查询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_Toc31840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1DB66471">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_Toc29162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4.4：产品公布查询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_Toc29162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1A3F288">
          <w:pPr>
            <w:jc w:val="both"/>
            <w:rPr>
              <w:rFonts w:hint="eastAsia" w:asciiTheme="minorHAnsi" w:hAnsiTheme="minorHAnsi" w:eastAsiaTheme="minorEastAsia" w:cstheme="minorBidi"/>
              <w:kern w:val="2"/>
              <w:sz w:val="21"/>
              <w:szCs w:val="36"/>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sz w:val="28"/>
              <w:szCs w:val="28"/>
              <w:lang w:val="en-US" w:eastAsia="zh-CN"/>
            </w:rPr>
            <w:fldChar w:fldCharType="end"/>
          </w:r>
        </w:p>
      </w:sdtContent>
    </w:sdt>
    <w:p w14:paraId="1982C0EA">
      <w:pPr>
        <w:pStyle w:val="2"/>
        <w:bidi w:val="0"/>
        <w:rPr>
          <w:rFonts w:hint="eastAsia" w:asciiTheme="majorEastAsia" w:hAnsiTheme="majorEastAsia" w:eastAsiaTheme="majorEastAsia" w:cstheme="majorEastAsia"/>
          <w:sz w:val="28"/>
          <w:szCs w:val="28"/>
          <w:lang w:val="en-US" w:eastAsia="zh-CN"/>
        </w:rPr>
      </w:pPr>
      <w:bookmarkStart w:id="0" w:name="_Toc14417"/>
      <w:r>
        <w:rPr>
          <w:rFonts w:hint="eastAsia" w:asciiTheme="majorEastAsia" w:hAnsiTheme="majorEastAsia" w:eastAsiaTheme="majorEastAsia" w:cstheme="majorEastAsia"/>
          <w:sz w:val="28"/>
          <w:szCs w:val="28"/>
          <w:lang w:val="en-US" w:eastAsia="zh-CN"/>
        </w:rPr>
        <w:t>1:系统登陆</w:t>
      </w:r>
      <w:bookmarkEnd w:id="0"/>
    </w:p>
    <w:p w14:paraId="18CF9C37">
      <w:pPr>
        <w:rPr>
          <w:rFonts w:hint="default"/>
          <w:lang w:val="en-US" w:eastAsia="zh-CN"/>
        </w:rPr>
      </w:pPr>
      <w:r>
        <w:rPr>
          <w:rFonts w:hint="eastAsia" w:asciiTheme="majorEastAsia" w:hAnsiTheme="majorEastAsia" w:eastAsiaTheme="majorEastAsia" w:cstheme="majorEastAsia"/>
          <w:sz w:val="28"/>
          <w:szCs w:val="28"/>
          <w:lang w:val="en-US" w:eastAsia="zh-CN"/>
        </w:rPr>
        <w:t>中药招标管理（饮片、配方颗粒）</w:t>
      </w:r>
    </w:p>
    <w:p w14:paraId="0FB24B59">
      <w:pPr>
        <w:jc w:val="both"/>
      </w:pPr>
      <w:r>
        <w:drawing>
          <wp:inline distT="0" distB="0" distL="114300" distR="114300">
            <wp:extent cx="5270500" cy="2179320"/>
            <wp:effectExtent l="0" t="0" r="0" b="50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5"/>
                    <a:stretch>
                      <a:fillRect/>
                    </a:stretch>
                  </pic:blipFill>
                  <pic:spPr>
                    <a:xfrm>
                      <a:off x="0" y="0"/>
                      <a:ext cx="5270500" cy="2179320"/>
                    </a:xfrm>
                    <a:prstGeom prst="rect">
                      <a:avLst/>
                    </a:prstGeom>
                    <a:noFill/>
                    <a:ln>
                      <a:noFill/>
                    </a:ln>
                  </pic:spPr>
                </pic:pic>
              </a:graphicData>
            </a:graphic>
          </wp:inline>
        </w:drawing>
      </w:r>
    </w:p>
    <w:p w14:paraId="0B4636D9">
      <w:pPr>
        <w:pStyle w:val="2"/>
        <w:bidi w:val="0"/>
        <w:rPr>
          <w:rFonts w:hint="eastAsia" w:asciiTheme="minorEastAsia" w:hAnsiTheme="minorEastAsia" w:eastAsiaTheme="minorEastAsia" w:cstheme="minorEastAsia"/>
          <w:sz w:val="28"/>
          <w:szCs w:val="28"/>
          <w:lang w:val="en-US" w:eastAsia="zh-CN"/>
        </w:rPr>
      </w:pPr>
      <w:bookmarkStart w:id="1" w:name="_Toc27426"/>
      <w:r>
        <w:rPr>
          <w:rFonts w:hint="eastAsia" w:asciiTheme="minorEastAsia" w:hAnsiTheme="minorEastAsia" w:eastAsiaTheme="minorEastAsia" w:cstheme="minorEastAsia"/>
          <w:sz w:val="28"/>
          <w:szCs w:val="28"/>
          <w:lang w:val="en-US" w:eastAsia="zh-CN"/>
        </w:rPr>
        <w:t>2:配送方案结果管理</w:t>
      </w:r>
      <w:bookmarkEnd w:id="1"/>
    </w:p>
    <w:p w14:paraId="706D9483">
      <w:pPr>
        <w:pStyle w:val="3"/>
        <w:bidi w:val="0"/>
        <w:rPr>
          <w:rFonts w:hint="default" w:asciiTheme="minorEastAsia" w:hAnsiTheme="minorEastAsia" w:eastAsiaTheme="minorEastAsia" w:cstheme="minorEastAsia"/>
          <w:sz w:val="28"/>
          <w:szCs w:val="28"/>
          <w:lang w:val="en-US" w:eastAsia="zh-CN"/>
        </w:rPr>
      </w:pPr>
      <w:bookmarkStart w:id="2" w:name="_Toc28973"/>
      <w:r>
        <w:rPr>
          <w:rFonts w:hint="eastAsia" w:asciiTheme="minorEastAsia" w:hAnsiTheme="minorEastAsia" w:eastAsiaTheme="minorEastAsia" w:cstheme="minorEastAsia"/>
          <w:sz w:val="28"/>
          <w:szCs w:val="28"/>
          <w:lang w:val="en-US" w:eastAsia="zh-CN"/>
        </w:rPr>
        <w:t>2.1配送方案点选（生产）</w:t>
      </w:r>
      <w:bookmarkEnd w:id="2"/>
    </w:p>
    <w:p w14:paraId="353D3E52">
      <w:pPr>
        <w:ind w:firstLine="560" w:firstLineChars="200"/>
        <w:jc w:val="both"/>
        <w:rPr>
          <w:rFonts w:hint="default" w:eastAsiaTheme="minorEastAsia"/>
          <w:sz w:val="28"/>
          <w:szCs w:val="28"/>
          <w:lang w:val="en-US" w:eastAsia="zh-CN"/>
        </w:rPr>
      </w:pPr>
      <w:r>
        <w:rPr>
          <w:rFonts w:hint="eastAsia"/>
          <w:sz w:val="28"/>
          <w:szCs w:val="28"/>
          <w:lang w:val="en-US" w:eastAsia="zh-CN"/>
        </w:rPr>
        <w:t>可以根据所属项目和配送区域进行配送方案维护，点击</w:t>
      </w:r>
      <w:r>
        <w:rPr>
          <w:rFonts w:hint="eastAsia"/>
          <w:b/>
          <w:bCs/>
          <w:sz w:val="28"/>
          <w:szCs w:val="28"/>
          <w:lang w:val="en-US" w:eastAsia="zh-CN"/>
        </w:rPr>
        <w:t>配送方案维护</w:t>
      </w:r>
    </w:p>
    <w:p w14:paraId="02464E25">
      <w:pPr>
        <w:jc w:val="both"/>
      </w:pPr>
      <w:r>
        <w:drawing>
          <wp:inline distT="0" distB="0" distL="114300" distR="114300">
            <wp:extent cx="5269865" cy="1454150"/>
            <wp:effectExtent l="0" t="0" r="635" b="635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6"/>
                    <a:stretch>
                      <a:fillRect/>
                    </a:stretch>
                  </pic:blipFill>
                  <pic:spPr>
                    <a:xfrm>
                      <a:off x="0" y="0"/>
                      <a:ext cx="5269865" cy="1454150"/>
                    </a:xfrm>
                    <a:prstGeom prst="rect">
                      <a:avLst/>
                    </a:prstGeom>
                    <a:noFill/>
                    <a:ln>
                      <a:noFill/>
                    </a:ln>
                  </pic:spPr>
                </pic:pic>
              </a:graphicData>
            </a:graphic>
          </wp:inline>
        </w:drawing>
      </w:r>
    </w:p>
    <w:p w14:paraId="58BF5C36">
      <w:pPr>
        <w:jc w:val="both"/>
      </w:pPr>
    </w:p>
    <w:p w14:paraId="7A0BCC1E">
      <w:pPr>
        <w:jc w:val="both"/>
      </w:pPr>
    </w:p>
    <w:p w14:paraId="7F1EC13C">
      <w:pPr>
        <w:ind w:firstLine="560" w:firstLineChars="200"/>
        <w:jc w:val="both"/>
        <w:rPr>
          <w:rFonts w:hint="default" w:eastAsiaTheme="minorEastAsia"/>
          <w:sz w:val="28"/>
          <w:szCs w:val="28"/>
          <w:lang w:val="en-US" w:eastAsia="zh-CN"/>
        </w:rPr>
      </w:pPr>
      <w:r>
        <w:rPr>
          <w:rFonts w:hint="eastAsia"/>
          <w:sz w:val="28"/>
          <w:szCs w:val="28"/>
          <w:lang w:val="en-US" w:eastAsia="zh-CN"/>
        </w:rPr>
        <w:t>点击选择配送企业模块，可以根据需要选择配送企业名称进行查询，查询出配送企业后，点击</w:t>
      </w:r>
      <w:r>
        <w:rPr>
          <w:rFonts w:hint="eastAsia"/>
          <w:b/>
          <w:bCs/>
          <w:sz w:val="28"/>
          <w:szCs w:val="28"/>
          <w:lang w:val="en-US" w:eastAsia="zh-CN"/>
        </w:rPr>
        <w:t>添加到已选配送</w:t>
      </w:r>
      <w:r>
        <w:rPr>
          <w:rFonts w:hint="eastAsia"/>
          <w:sz w:val="28"/>
          <w:szCs w:val="28"/>
          <w:lang w:val="en-US" w:eastAsia="zh-CN"/>
        </w:rPr>
        <w:t>，配送方案模块，勾选相应模块后选择批量提交，方案维护成功。</w:t>
      </w:r>
    </w:p>
    <w:p w14:paraId="15B8B3C7">
      <w:pPr>
        <w:jc w:val="both"/>
      </w:pPr>
      <w:r>
        <w:drawing>
          <wp:inline distT="0" distB="0" distL="114300" distR="114300">
            <wp:extent cx="5269865" cy="2773045"/>
            <wp:effectExtent l="0" t="0" r="13335" b="2095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7"/>
                    <a:stretch>
                      <a:fillRect/>
                    </a:stretch>
                  </pic:blipFill>
                  <pic:spPr>
                    <a:xfrm>
                      <a:off x="0" y="0"/>
                      <a:ext cx="5269865" cy="2773045"/>
                    </a:xfrm>
                    <a:prstGeom prst="rect">
                      <a:avLst/>
                    </a:prstGeom>
                    <a:noFill/>
                    <a:ln>
                      <a:noFill/>
                    </a:ln>
                  </pic:spPr>
                </pic:pic>
              </a:graphicData>
            </a:graphic>
          </wp:inline>
        </w:drawing>
      </w:r>
    </w:p>
    <w:p w14:paraId="1CDC5CA9">
      <w:pPr>
        <w:jc w:val="both"/>
      </w:pPr>
    </w:p>
    <w:p w14:paraId="2031EB5E">
      <w:pPr>
        <w:jc w:val="both"/>
      </w:pPr>
      <w:r>
        <w:drawing>
          <wp:inline distT="0" distB="0" distL="114300" distR="114300">
            <wp:extent cx="5271135" cy="2974975"/>
            <wp:effectExtent l="0" t="0" r="12065" b="2222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8"/>
                    <a:stretch>
                      <a:fillRect/>
                    </a:stretch>
                  </pic:blipFill>
                  <pic:spPr>
                    <a:xfrm>
                      <a:off x="0" y="0"/>
                      <a:ext cx="5271135" cy="2974975"/>
                    </a:xfrm>
                    <a:prstGeom prst="rect">
                      <a:avLst/>
                    </a:prstGeom>
                    <a:noFill/>
                    <a:ln>
                      <a:noFill/>
                    </a:ln>
                  </pic:spPr>
                </pic:pic>
              </a:graphicData>
            </a:graphic>
          </wp:inline>
        </w:drawing>
      </w:r>
    </w:p>
    <w:p w14:paraId="6205580C">
      <w:pPr>
        <w:jc w:val="both"/>
      </w:pPr>
    </w:p>
    <w:p w14:paraId="07416C6C">
      <w:pPr>
        <w:jc w:val="both"/>
      </w:pPr>
    </w:p>
    <w:p w14:paraId="18D7A438">
      <w:pPr>
        <w:jc w:val="both"/>
      </w:pPr>
    </w:p>
    <w:p w14:paraId="2A6EE38B">
      <w:pPr>
        <w:pStyle w:val="3"/>
        <w:bidi w:val="0"/>
        <w:rPr>
          <w:rFonts w:hint="eastAsia" w:asciiTheme="minorEastAsia" w:hAnsiTheme="minorEastAsia" w:eastAsiaTheme="minorEastAsia" w:cstheme="minorEastAsia"/>
          <w:sz w:val="28"/>
          <w:szCs w:val="28"/>
          <w:lang w:val="en-US" w:eastAsia="zh-CN"/>
        </w:rPr>
      </w:pPr>
      <w:bookmarkStart w:id="3" w:name="_Toc28292"/>
      <w:r>
        <w:rPr>
          <w:rFonts w:hint="eastAsia" w:asciiTheme="minorEastAsia" w:hAnsiTheme="minorEastAsia" w:eastAsiaTheme="minorEastAsia" w:cstheme="minorEastAsia"/>
          <w:sz w:val="28"/>
          <w:szCs w:val="28"/>
          <w:lang w:val="en-US" w:eastAsia="zh-CN"/>
        </w:rPr>
        <w:t>2.2配送方案管理（生产）</w:t>
      </w:r>
      <w:bookmarkEnd w:id="3"/>
    </w:p>
    <w:p w14:paraId="23A5E1BD">
      <w:pPr>
        <w:ind w:firstLine="560" w:firstLineChars="200"/>
        <w:jc w:val="both"/>
      </w:pPr>
      <w:r>
        <w:rPr>
          <w:rFonts w:hint="eastAsia"/>
          <w:sz w:val="28"/>
          <w:szCs w:val="28"/>
          <w:lang w:val="en-US" w:eastAsia="zh-CN"/>
        </w:rPr>
        <w:t>生产企业在配送方案点选后，点击</w:t>
      </w:r>
      <w:r>
        <w:rPr>
          <w:rFonts w:hint="eastAsia"/>
          <w:b/>
          <w:bCs/>
          <w:sz w:val="28"/>
          <w:szCs w:val="28"/>
          <w:lang w:val="en-US" w:eastAsia="zh-CN"/>
        </w:rPr>
        <w:t>配送方案状态</w:t>
      </w:r>
      <w:r>
        <w:rPr>
          <w:rFonts w:hint="eastAsia"/>
          <w:sz w:val="28"/>
          <w:szCs w:val="28"/>
          <w:lang w:val="en-US" w:eastAsia="zh-CN"/>
        </w:rPr>
        <w:t>可以选择相应配送方案，在下方签约目录可以查看已经点选的配送方案，也可以根据时间来查询已经点选过的配送方案，也可以通过点选申请调整，进行方案的重新点选。</w:t>
      </w:r>
    </w:p>
    <w:p w14:paraId="688153E2">
      <w:pPr>
        <w:jc w:val="both"/>
      </w:pPr>
    </w:p>
    <w:p w14:paraId="1BA23D05">
      <w:pPr>
        <w:jc w:val="both"/>
      </w:pPr>
      <w:r>
        <w:drawing>
          <wp:inline distT="0" distB="0" distL="114300" distR="114300">
            <wp:extent cx="5269865" cy="1681480"/>
            <wp:effectExtent l="0" t="0" r="635" b="762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9"/>
                    <a:stretch>
                      <a:fillRect/>
                    </a:stretch>
                  </pic:blipFill>
                  <pic:spPr>
                    <a:xfrm>
                      <a:off x="0" y="0"/>
                      <a:ext cx="5269865" cy="1681480"/>
                    </a:xfrm>
                    <a:prstGeom prst="rect">
                      <a:avLst/>
                    </a:prstGeom>
                    <a:noFill/>
                    <a:ln>
                      <a:noFill/>
                    </a:ln>
                  </pic:spPr>
                </pic:pic>
              </a:graphicData>
            </a:graphic>
          </wp:inline>
        </w:drawing>
      </w:r>
    </w:p>
    <w:p w14:paraId="5DC4FCE8">
      <w:pPr>
        <w:pStyle w:val="3"/>
        <w:bidi w:val="0"/>
        <w:rPr>
          <w:rFonts w:hint="default" w:asciiTheme="minorEastAsia" w:hAnsiTheme="minorEastAsia" w:eastAsiaTheme="minorEastAsia" w:cstheme="minorEastAsia"/>
          <w:sz w:val="28"/>
          <w:szCs w:val="28"/>
          <w:lang w:val="en-US" w:eastAsia="zh-CN"/>
        </w:rPr>
      </w:pPr>
      <w:bookmarkStart w:id="4" w:name="_Toc18253"/>
      <w:r>
        <w:rPr>
          <w:rFonts w:hint="eastAsia" w:asciiTheme="minorEastAsia" w:hAnsiTheme="minorEastAsia" w:eastAsiaTheme="minorEastAsia" w:cstheme="minorEastAsia"/>
          <w:sz w:val="28"/>
          <w:szCs w:val="28"/>
          <w:lang w:val="en-US" w:eastAsia="zh-CN"/>
        </w:rPr>
        <w:t>2.3配送产品关系（生产）</w:t>
      </w:r>
      <w:bookmarkEnd w:id="4"/>
    </w:p>
    <w:p w14:paraId="04535165">
      <w:pPr>
        <w:ind w:firstLine="560" w:firstLineChars="200"/>
        <w:jc w:val="both"/>
      </w:pPr>
      <w:r>
        <w:rPr>
          <w:rFonts w:hint="eastAsia"/>
          <w:sz w:val="28"/>
          <w:szCs w:val="28"/>
          <w:lang w:val="en-US" w:eastAsia="zh-CN"/>
        </w:rPr>
        <w:t>生产企业可以根据项目名称和产品名称以及配送关系状态查看配送产品的相关信息。</w:t>
      </w:r>
    </w:p>
    <w:p w14:paraId="34F25BE2">
      <w:pPr>
        <w:jc w:val="both"/>
      </w:pPr>
      <w:r>
        <w:drawing>
          <wp:inline distT="0" distB="0" distL="114300" distR="114300">
            <wp:extent cx="5267325" cy="2018030"/>
            <wp:effectExtent l="0" t="0" r="3175" b="127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0"/>
                    <a:stretch>
                      <a:fillRect/>
                    </a:stretch>
                  </pic:blipFill>
                  <pic:spPr>
                    <a:xfrm>
                      <a:off x="0" y="0"/>
                      <a:ext cx="5267325" cy="2018030"/>
                    </a:xfrm>
                    <a:prstGeom prst="rect">
                      <a:avLst/>
                    </a:prstGeom>
                    <a:noFill/>
                    <a:ln>
                      <a:noFill/>
                    </a:ln>
                  </pic:spPr>
                </pic:pic>
              </a:graphicData>
            </a:graphic>
          </wp:inline>
        </w:drawing>
      </w:r>
    </w:p>
    <w:p w14:paraId="1A04F156">
      <w:pPr>
        <w:pStyle w:val="3"/>
        <w:bidi w:val="0"/>
        <w:rPr>
          <w:rFonts w:hint="eastAsia"/>
          <w:b w:val="0"/>
          <w:bCs/>
          <w:sz w:val="28"/>
          <w:szCs w:val="28"/>
          <w:lang w:val="en-US" w:eastAsia="zh-CN"/>
        </w:rPr>
      </w:pPr>
    </w:p>
    <w:p w14:paraId="3CFE6B93">
      <w:pPr>
        <w:pStyle w:val="3"/>
        <w:bidi w:val="0"/>
        <w:rPr>
          <w:rFonts w:hint="eastAsia"/>
          <w:b w:val="0"/>
          <w:bCs/>
          <w:sz w:val="28"/>
          <w:szCs w:val="28"/>
          <w:lang w:val="en-US" w:eastAsia="zh-CN"/>
        </w:rPr>
      </w:pPr>
      <w:bookmarkStart w:id="5" w:name="_Toc3319"/>
      <w:r>
        <w:rPr>
          <w:rFonts w:hint="eastAsia"/>
          <w:b w:val="0"/>
          <w:bCs/>
          <w:sz w:val="28"/>
          <w:szCs w:val="28"/>
          <w:lang w:val="en-US" w:eastAsia="zh-CN"/>
        </w:rPr>
        <w:t>2.4配送方案管理（配送）</w:t>
      </w:r>
      <w:bookmarkEnd w:id="5"/>
    </w:p>
    <w:p w14:paraId="36F1AC4A">
      <w:pPr>
        <w:ind w:firstLine="560" w:firstLineChars="200"/>
        <w:rPr>
          <w:rFonts w:hint="eastAsia"/>
          <w:lang w:val="en-US" w:eastAsia="zh-CN"/>
        </w:rPr>
      </w:pPr>
      <w:r>
        <w:rPr>
          <w:rFonts w:hint="eastAsia"/>
          <w:sz w:val="28"/>
          <w:szCs w:val="28"/>
          <w:lang w:val="en-US" w:eastAsia="zh-CN"/>
        </w:rPr>
        <w:t>点击</w:t>
      </w:r>
      <w:r>
        <w:rPr>
          <w:rFonts w:hint="eastAsia"/>
          <w:b/>
          <w:bCs/>
          <w:sz w:val="28"/>
          <w:szCs w:val="28"/>
          <w:lang w:val="en-US" w:eastAsia="zh-CN"/>
        </w:rPr>
        <w:t>配送方案状态</w:t>
      </w:r>
      <w:r>
        <w:rPr>
          <w:rFonts w:hint="eastAsia"/>
          <w:sz w:val="28"/>
          <w:szCs w:val="28"/>
          <w:lang w:val="en-US" w:eastAsia="zh-CN"/>
        </w:rPr>
        <w:t>可以选择相应配送方案，在下方签约目录可以查看已经点选的配送方案，也可以根据时间来查询已经点选过的配送方案，也可以通过点选申请调整，进行方案的重新点选。</w:t>
      </w:r>
    </w:p>
    <w:p w14:paraId="7388A6ED">
      <w:pPr>
        <w:rPr>
          <w:rFonts w:hint="eastAsia"/>
          <w:lang w:val="en-US" w:eastAsia="zh-CN"/>
        </w:rPr>
      </w:pPr>
      <w:r>
        <w:drawing>
          <wp:inline distT="0" distB="0" distL="114300" distR="114300">
            <wp:extent cx="5269865" cy="1628775"/>
            <wp:effectExtent l="0" t="0" r="635" b="952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1"/>
                    <a:stretch>
                      <a:fillRect/>
                    </a:stretch>
                  </pic:blipFill>
                  <pic:spPr>
                    <a:xfrm>
                      <a:off x="0" y="0"/>
                      <a:ext cx="5269865" cy="1628775"/>
                    </a:xfrm>
                    <a:prstGeom prst="rect">
                      <a:avLst/>
                    </a:prstGeom>
                    <a:noFill/>
                    <a:ln>
                      <a:noFill/>
                    </a:ln>
                  </pic:spPr>
                </pic:pic>
              </a:graphicData>
            </a:graphic>
          </wp:inline>
        </w:drawing>
      </w:r>
    </w:p>
    <w:p w14:paraId="7DA0D134">
      <w:pPr>
        <w:rPr>
          <w:rFonts w:hint="default"/>
          <w:lang w:val="en-US" w:eastAsia="zh-CN"/>
        </w:rPr>
      </w:pPr>
    </w:p>
    <w:p w14:paraId="0D00575C">
      <w:pPr>
        <w:pStyle w:val="2"/>
        <w:bidi w:val="0"/>
        <w:rPr>
          <w:rFonts w:hint="default" w:asciiTheme="minorEastAsia" w:hAnsiTheme="minorEastAsia" w:eastAsiaTheme="minorEastAsia" w:cstheme="minorEastAsia"/>
          <w:sz w:val="28"/>
          <w:szCs w:val="28"/>
          <w:lang w:val="en-US" w:eastAsia="zh-CN"/>
        </w:rPr>
      </w:pPr>
      <w:bookmarkStart w:id="6" w:name="_Toc17559"/>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cstheme="minorEastAsia"/>
          <w:sz w:val="28"/>
          <w:szCs w:val="28"/>
          <w:lang w:val="en-US" w:eastAsia="zh-CN"/>
        </w:rPr>
        <w:t>动态调整</w:t>
      </w:r>
      <w:bookmarkEnd w:id="6"/>
    </w:p>
    <w:p w14:paraId="524AADEA">
      <w:pPr>
        <w:pStyle w:val="3"/>
        <w:bidi w:val="0"/>
        <w:rPr>
          <w:rFonts w:hint="eastAsia" w:asciiTheme="minorEastAsia" w:hAnsiTheme="minorEastAsia" w:eastAsiaTheme="minorEastAsia" w:cstheme="minorEastAsia"/>
          <w:sz w:val="28"/>
          <w:szCs w:val="28"/>
          <w:lang w:val="en-US" w:eastAsia="zh-CN"/>
        </w:rPr>
      </w:pPr>
      <w:bookmarkStart w:id="7" w:name="_Toc22993"/>
      <w:r>
        <w:rPr>
          <w:rFonts w:hint="eastAsia" w:asciiTheme="minorEastAsia" w:hAnsiTheme="minorEastAsia" w:eastAsiaTheme="minorEastAsia" w:cstheme="minorEastAsia"/>
          <w:sz w:val="28"/>
          <w:szCs w:val="28"/>
          <w:lang w:val="en-US" w:eastAsia="zh-CN"/>
        </w:rPr>
        <w:t>3.1挂网状态和价格查询</w:t>
      </w:r>
      <w:bookmarkEnd w:id="7"/>
    </w:p>
    <w:p w14:paraId="26E910A5">
      <w:pPr>
        <w:ind w:firstLine="560" w:firstLineChars="200"/>
        <w:rPr>
          <w:rFonts w:hint="default"/>
          <w:lang w:val="en-US" w:eastAsia="zh-CN"/>
        </w:rPr>
      </w:pPr>
      <w:r>
        <w:rPr>
          <w:rFonts w:hint="eastAsia" w:asciiTheme="minorEastAsia" w:hAnsiTheme="minorEastAsia" w:cstheme="minorEastAsia"/>
          <w:sz w:val="28"/>
          <w:szCs w:val="28"/>
          <w:lang w:val="en-US" w:eastAsia="zh-CN"/>
        </w:rPr>
        <w:t>可以根据产品名称和挂网状态等查看本企业的产品相关信息</w:t>
      </w:r>
    </w:p>
    <w:p w14:paraId="35D92CEF">
      <w:pPr>
        <w:jc w:val="both"/>
      </w:pPr>
    </w:p>
    <w:p w14:paraId="648E2EAC">
      <w:pPr>
        <w:jc w:val="both"/>
      </w:pPr>
      <w:r>
        <w:drawing>
          <wp:inline distT="0" distB="0" distL="114300" distR="114300">
            <wp:extent cx="5180330" cy="1699260"/>
            <wp:effectExtent l="0" t="0" r="0" b="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2"/>
                    <a:srcRect r="1746"/>
                    <a:stretch>
                      <a:fillRect/>
                    </a:stretch>
                  </pic:blipFill>
                  <pic:spPr>
                    <a:xfrm>
                      <a:off x="0" y="0"/>
                      <a:ext cx="5180330" cy="1699260"/>
                    </a:xfrm>
                    <a:prstGeom prst="rect">
                      <a:avLst/>
                    </a:prstGeom>
                    <a:noFill/>
                    <a:ln>
                      <a:noFill/>
                    </a:ln>
                  </pic:spPr>
                </pic:pic>
              </a:graphicData>
            </a:graphic>
          </wp:inline>
        </w:drawing>
      </w:r>
    </w:p>
    <w:p w14:paraId="0A16D727">
      <w:pPr>
        <w:jc w:val="both"/>
      </w:pPr>
    </w:p>
    <w:p w14:paraId="19B76EF5">
      <w:pPr>
        <w:pStyle w:val="3"/>
        <w:bidi w:val="0"/>
        <w:rPr>
          <w:rFonts w:hint="eastAsia" w:asciiTheme="minorEastAsia" w:hAnsiTheme="minorEastAsia" w:eastAsiaTheme="minorEastAsia" w:cstheme="minorEastAsia"/>
          <w:sz w:val="28"/>
          <w:szCs w:val="28"/>
          <w:lang w:val="en-US" w:eastAsia="zh-CN"/>
        </w:rPr>
      </w:pPr>
      <w:bookmarkStart w:id="8" w:name="_Toc9220"/>
      <w:r>
        <w:rPr>
          <w:rFonts w:hint="eastAsia" w:asciiTheme="minorEastAsia" w:hAnsiTheme="minorEastAsia" w:eastAsiaTheme="minorEastAsia" w:cstheme="minorEastAsia"/>
          <w:sz w:val="28"/>
          <w:szCs w:val="28"/>
          <w:lang w:val="en-US" w:eastAsia="zh-CN"/>
        </w:rPr>
        <w:t>3.2挂网状态和价格调整申请</w:t>
      </w:r>
      <w:bookmarkEnd w:id="8"/>
    </w:p>
    <w:p w14:paraId="518EAFDA">
      <w:pPr>
        <w:ind w:firstLine="560" w:firstLineChars="200"/>
        <w:jc w:val="both"/>
        <w:rPr>
          <w:rFonts w:hint="default"/>
          <w:sz w:val="28"/>
          <w:szCs w:val="28"/>
          <w:lang w:val="en-US" w:eastAsia="zh-CN"/>
        </w:rPr>
      </w:pPr>
      <w:r>
        <w:rPr>
          <w:rFonts w:hint="eastAsia"/>
          <w:sz w:val="28"/>
          <w:szCs w:val="28"/>
          <w:lang w:val="en-US" w:eastAsia="zh-CN"/>
        </w:rPr>
        <w:t>企业可以根据本企业实际需求进行新增调整申请，点击新增调整申请，维护好相关信息后，生成申请表。</w:t>
      </w:r>
    </w:p>
    <w:p w14:paraId="48EFC469">
      <w:pPr>
        <w:jc w:val="both"/>
      </w:pPr>
      <w:r>
        <w:drawing>
          <wp:inline distT="0" distB="0" distL="114300" distR="114300">
            <wp:extent cx="5264150" cy="1800225"/>
            <wp:effectExtent l="0" t="0" r="6350" b="317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3"/>
                    <a:stretch>
                      <a:fillRect/>
                    </a:stretch>
                  </pic:blipFill>
                  <pic:spPr>
                    <a:xfrm>
                      <a:off x="0" y="0"/>
                      <a:ext cx="5264150" cy="1800225"/>
                    </a:xfrm>
                    <a:prstGeom prst="rect">
                      <a:avLst/>
                    </a:prstGeom>
                    <a:noFill/>
                    <a:ln>
                      <a:noFill/>
                    </a:ln>
                  </pic:spPr>
                </pic:pic>
              </a:graphicData>
            </a:graphic>
          </wp:inline>
        </w:drawing>
      </w:r>
    </w:p>
    <w:p w14:paraId="6D163E39">
      <w:pPr>
        <w:pStyle w:val="2"/>
        <w:bidi w:val="0"/>
        <w:rPr>
          <w:rFonts w:hint="eastAsia" w:asciiTheme="minorEastAsia" w:hAnsiTheme="minorEastAsia" w:cstheme="minorEastAsia"/>
          <w:sz w:val="28"/>
          <w:szCs w:val="28"/>
          <w:lang w:val="en-US" w:eastAsia="zh-CN"/>
        </w:rPr>
      </w:pPr>
      <w:bookmarkStart w:id="9" w:name="_Toc11571"/>
      <w:r>
        <w:rPr>
          <w:rFonts w:hint="eastAsia" w:asciiTheme="minorEastAsia" w:hAnsiTheme="minorEastAsia" w:cstheme="minorEastAsia"/>
          <w:sz w:val="28"/>
          <w:szCs w:val="28"/>
          <w:lang w:val="en-US" w:eastAsia="zh-CN"/>
        </w:rPr>
        <w:t>4：中药配方颗粒申报管理</w:t>
      </w:r>
      <w:bookmarkEnd w:id="9"/>
    </w:p>
    <w:p w14:paraId="7E25944C">
      <w:pPr>
        <w:pStyle w:val="3"/>
        <w:bidi w:val="0"/>
        <w:rPr>
          <w:rFonts w:hint="eastAsia" w:asciiTheme="minorEastAsia" w:hAnsiTheme="minorEastAsia" w:eastAsiaTheme="minorEastAsia" w:cstheme="minorEastAsia"/>
          <w:sz w:val="28"/>
          <w:szCs w:val="28"/>
          <w:lang w:val="en-US" w:eastAsia="zh-CN"/>
        </w:rPr>
      </w:pPr>
      <w:bookmarkStart w:id="10" w:name="_Toc2558"/>
      <w:r>
        <w:rPr>
          <w:rFonts w:hint="eastAsia" w:asciiTheme="minorEastAsia" w:hAnsiTheme="minorEastAsia" w:eastAsiaTheme="minorEastAsia" w:cstheme="minorEastAsia"/>
          <w:sz w:val="28"/>
          <w:szCs w:val="28"/>
          <w:lang w:val="en-US" w:eastAsia="zh-CN"/>
        </w:rPr>
        <w:t>4.1：产品信息申报</w:t>
      </w:r>
      <w:bookmarkEnd w:id="10"/>
    </w:p>
    <w:p w14:paraId="318DE5D8">
      <w:pPr>
        <w:ind w:firstLine="560" w:firstLineChars="200"/>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企业可以根据项目名称进行查询，点击进入项目可以查看产品待提交，已提交，已作废模块；点击添加申报产品可以勾选相应产品进行申报。（</w:t>
      </w:r>
      <w:r>
        <w:rPr>
          <w:rFonts w:ascii="Arial" w:hAnsi="Arial" w:eastAsia="宋体" w:cs="Arial"/>
          <w:b/>
          <w:bCs/>
          <w:i w:val="0"/>
          <w:iCs w:val="0"/>
          <w:caps w:val="0"/>
          <w:color w:val="303133"/>
          <w:spacing w:val="0"/>
          <w:sz w:val="16"/>
          <w:szCs w:val="16"/>
          <w:shd w:val="clear" w:fill="FFFFFF"/>
        </w:rPr>
        <w:t> </w:t>
      </w:r>
      <w:r>
        <w:rPr>
          <w:rFonts w:hint="eastAsia" w:asciiTheme="minorEastAsia" w:hAnsiTheme="minorEastAsia" w:eastAsiaTheme="minorEastAsia" w:cstheme="minorEastAsia"/>
          <w:b/>
          <w:bCs/>
          <w:i w:val="0"/>
          <w:iCs w:val="0"/>
          <w:caps w:val="0"/>
          <w:color w:val="FF0000"/>
          <w:spacing w:val="0"/>
          <w:sz w:val="28"/>
          <w:szCs w:val="28"/>
          <w:shd w:val="clear" w:fill="FFFFFF"/>
        </w:rPr>
        <w:t>注意：产品申报提交后无法撤回,请仔细检查再提交</w:t>
      </w:r>
      <w:r>
        <w:rPr>
          <w:rFonts w:hint="eastAsia" w:asciiTheme="minorEastAsia" w:hAnsiTheme="minorEastAsia" w:cstheme="minorEastAsia"/>
          <w:sz w:val="28"/>
          <w:szCs w:val="28"/>
          <w:lang w:val="en-US" w:eastAsia="zh-CN"/>
        </w:rPr>
        <w:t>）</w:t>
      </w:r>
    </w:p>
    <w:p w14:paraId="6E3E8C71">
      <w:pPr>
        <w:jc w:val="both"/>
      </w:pPr>
    </w:p>
    <w:p w14:paraId="62DD98DF">
      <w:pPr>
        <w:jc w:val="both"/>
      </w:pPr>
      <w:r>
        <w:drawing>
          <wp:inline distT="0" distB="0" distL="114300" distR="114300">
            <wp:extent cx="5267325" cy="1728470"/>
            <wp:effectExtent l="0" t="0" r="0" b="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14"/>
                    <a:srcRect b="17640"/>
                    <a:stretch>
                      <a:fillRect/>
                    </a:stretch>
                  </pic:blipFill>
                  <pic:spPr>
                    <a:xfrm>
                      <a:off x="0" y="0"/>
                      <a:ext cx="5267325" cy="1728470"/>
                    </a:xfrm>
                    <a:prstGeom prst="rect">
                      <a:avLst/>
                    </a:prstGeom>
                    <a:noFill/>
                    <a:ln>
                      <a:noFill/>
                    </a:ln>
                  </pic:spPr>
                </pic:pic>
              </a:graphicData>
            </a:graphic>
          </wp:inline>
        </w:drawing>
      </w:r>
    </w:p>
    <w:p w14:paraId="3EB095A5">
      <w:pPr>
        <w:jc w:val="both"/>
      </w:pPr>
    </w:p>
    <w:p w14:paraId="2F317632">
      <w:pPr>
        <w:jc w:val="both"/>
      </w:pPr>
      <w:r>
        <w:drawing>
          <wp:inline distT="0" distB="0" distL="114300" distR="114300">
            <wp:extent cx="5273675" cy="2112010"/>
            <wp:effectExtent l="0" t="0" r="9525" b="889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15"/>
                    <a:srcRect b="29697"/>
                    <a:stretch>
                      <a:fillRect/>
                    </a:stretch>
                  </pic:blipFill>
                  <pic:spPr>
                    <a:xfrm>
                      <a:off x="0" y="0"/>
                      <a:ext cx="5273675" cy="2112010"/>
                    </a:xfrm>
                    <a:prstGeom prst="rect">
                      <a:avLst/>
                    </a:prstGeom>
                    <a:noFill/>
                    <a:ln>
                      <a:noFill/>
                    </a:ln>
                  </pic:spPr>
                </pic:pic>
              </a:graphicData>
            </a:graphic>
          </wp:inline>
        </w:drawing>
      </w:r>
    </w:p>
    <w:p w14:paraId="0F0C3660">
      <w:pPr>
        <w:pStyle w:val="3"/>
        <w:bidi w:val="0"/>
        <w:rPr>
          <w:rFonts w:hint="eastAsia" w:asciiTheme="minorEastAsia" w:hAnsiTheme="minorEastAsia" w:eastAsiaTheme="minorEastAsia" w:cstheme="minorEastAsia"/>
          <w:sz w:val="28"/>
          <w:szCs w:val="28"/>
          <w:lang w:val="en-US" w:eastAsia="zh-CN"/>
        </w:rPr>
      </w:pPr>
      <w:bookmarkStart w:id="11" w:name="_Toc15239"/>
      <w:r>
        <w:rPr>
          <w:rFonts w:hint="eastAsia" w:asciiTheme="minorEastAsia" w:hAnsiTheme="minorEastAsia" w:eastAsiaTheme="minorEastAsia" w:cstheme="minorEastAsia"/>
          <w:sz w:val="28"/>
          <w:szCs w:val="28"/>
          <w:lang w:val="en-US" w:eastAsia="zh-CN"/>
        </w:rPr>
        <w:t>4.2：产品公开查询</w:t>
      </w:r>
      <w:bookmarkEnd w:id="11"/>
    </w:p>
    <w:p w14:paraId="1F555A05">
      <w:pPr>
        <w:ind w:firstLine="560" w:firstLineChars="200"/>
        <w:jc w:val="both"/>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可以根据配方颗粒代码，名称等进行查询。</w:t>
      </w:r>
    </w:p>
    <w:p w14:paraId="04F1E183">
      <w:pPr>
        <w:jc w:val="both"/>
      </w:pPr>
      <w:r>
        <w:drawing>
          <wp:inline distT="0" distB="0" distL="114300" distR="114300">
            <wp:extent cx="5267325" cy="1883410"/>
            <wp:effectExtent l="0" t="0" r="3175" b="889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6"/>
                    <a:stretch>
                      <a:fillRect/>
                    </a:stretch>
                  </pic:blipFill>
                  <pic:spPr>
                    <a:xfrm>
                      <a:off x="0" y="0"/>
                      <a:ext cx="5267325" cy="1883410"/>
                    </a:xfrm>
                    <a:prstGeom prst="rect">
                      <a:avLst/>
                    </a:prstGeom>
                    <a:noFill/>
                    <a:ln>
                      <a:noFill/>
                    </a:ln>
                  </pic:spPr>
                </pic:pic>
              </a:graphicData>
            </a:graphic>
          </wp:inline>
        </w:drawing>
      </w:r>
    </w:p>
    <w:p w14:paraId="7DE1E63C">
      <w:pPr>
        <w:pStyle w:val="3"/>
        <w:bidi w:val="0"/>
        <w:rPr>
          <w:rFonts w:hint="eastAsia" w:asciiTheme="minorEastAsia" w:hAnsiTheme="minorEastAsia" w:eastAsiaTheme="minorEastAsia" w:cstheme="minorEastAsia"/>
          <w:sz w:val="28"/>
          <w:szCs w:val="28"/>
          <w:lang w:val="en-US" w:eastAsia="zh-CN"/>
        </w:rPr>
      </w:pPr>
      <w:bookmarkStart w:id="12" w:name="_Toc31840"/>
      <w:r>
        <w:rPr>
          <w:rFonts w:hint="eastAsia" w:asciiTheme="minorEastAsia" w:hAnsiTheme="minorEastAsia" w:eastAsiaTheme="minorEastAsia" w:cstheme="minorEastAsia"/>
          <w:sz w:val="28"/>
          <w:szCs w:val="28"/>
          <w:lang w:val="en-US" w:eastAsia="zh-CN"/>
        </w:rPr>
        <w:t>4.3产品公示查询</w:t>
      </w:r>
      <w:bookmarkEnd w:id="12"/>
    </w:p>
    <w:p w14:paraId="55DED466">
      <w:pPr>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可以根据配方颗粒代码，名称等进行查询。</w:t>
      </w:r>
    </w:p>
    <w:p w14:paraId="728F00EA">
      <w:pPr>
        <w:jc w:val="both"/>
        <w:rPr>
          <w:rFonts w:hint="default"/>
          <w:lang w:val="en-US" w:eastAsia="zh-CN"/>
        </w:rPr>
      </w:pPr>
    </w:p>
    <w:p w14:paraId="16DDA52F">
      <w:pPr>
        <w:jc w:val="both"/>
      </w:pPr>
      <w:r>
        <w:drawing>
          <wp:inline distT="0" distB="0" distL="114300" distR="114300">
            <wp:extent cx="5267325" cy="1963420"/>
            <wp:effectExtent l="0" t="0" r="3175" b="508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17"/>
                    <a:stretch>
                      <a:fillRect/>
                    </a:stretch>
                  </pic:blipFill>
                  <pic:spPr>
                    <a:xfrm>
                      <a:off x="0" y="0"/>
                      <a:ext cx="5267325" cy="1963420"/>
                    </a:xfrm>
                    <a:prstGeom prst="rect">
                      <a:avLst/>
                    </a:prstGeom>
                    <a:noFill/>
                    <a:ln>
                      <a:noFill/>
                    </a:ln>
                  </pic:spPr>
                </pic:pic>
              </a:graphicData>
            </a:graphic>
          </wp:inline>
        </w:drawing>
      </w:r>
    </w:p>
    <w:p w14:paraId="775FE8B1">
      <w:pPr>
        <w:jc w:val="both"/>
      </w:pPr>
    </w:p>
    <w:p w14:paraId="6915FCB8">
      <w:pPr>
        <w:pStyle w:val="3"/>
        <w:bidi w:val="0"/>
        <w:rPr>
          <w:rFonts w:hint="eastAsia" w:asciiTheme="minorEastAsia" w:hAnsiTheme="minorEastAsia" w:eastAsiaTheme="minorEastAsia" w:cstheme="minorEastAsia"/>
          <w:sz w:val="28"/>
          <w:szCs w:val="28"/>
          <w:lang w:val="en-US" w:eastAsia="zh-CN"/>
        </w:rPr>
      </w:pPr>
      <w:bookmarkStart w:id="13" w:name="_Toc29162"/>
      <w:r>
        <w:rPr>
          <w:rFonts w:hint="eastAsia" w:asciiTheme="minorEastAsia" w:hAnsiTheme="minorEastAsia" w:eastAsiaTheme="minorEastAsia" w:cstheme="minorEastAsia"/>
          <w:sz w:val="28"/>
          <w:szCs w:val="28"/>
          <w:lang w:val="en-US" w:eastAsia="zh-CN"/>
        </w:rPr>
        <w:t>4.4：产品公布查询</w:t>
      </w:r>
      <w:bookmarkEnd w:id="13"/>
    </w:p>
    <w:p w14:paraId="1AE21B50">
      <w:pPr>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可以根据配方颗粒代码，名称等进行查询。</w:t>
      </w:r>
    </w:p>
    <w:p w14:paraId="4C3A0136">
      <w:pPr>
        <w:jc w:val="both"/>
        <w:rPr>
          <w:rFonts w:hint="eastAsia"/>
          <w:lang w:val="en-US" w:eastAsia="zh-CN"/>
        </w:rPr>
      </w:pPr>
    </w:p>
    <w:p w14:paraId="3A54C1AC">
      <w:pPr>
        <w:jc w:val="both"/>
        <w:rPr>
          <w:rFonts w:hint="default"/>
          <w:lang w:val="en-US" w:eastAsia="zh-CN"/>
        </w:rPr>
      </w:pPr>
      <w:r>
        <w:drawing>
          <wp:inline distT="0" distB="0" distL="114300" distR="114300">
            <wp:extent cx="5264150" cy="1647190"/>
            <wp:effectExtent l="0" t="0" r="6350" b="381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18"/>
                    <a:stretch>
                      <a:fillRect/>
                    </a:stretch>
                  </pic:blipFill>
                  <pic:spPr>
                    <a:xfrm>
                      <a:off x="0" y="0"/>
                      <a:ext cx="5264150" cy="1647190"/>
                    </a:xfrm>
                    <a:prstGeom prst="rect">
                      <a:avLst/>
                    </a:prstGeom>
                    <a:noFill/>
                    <a:ln>
                      <a:noFill/>
                    </a:ln>
                  </pic:spPr>
                </pic:pic>
              </a:graphicData>
            </a:graphic>
          </wp:inline>
        </w:drawing>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4775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D816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87D816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yMDFhOTIzZWE5NzQ2NDhkZTE2M2ZkZTQxYzJiM2IifQ=="/>
  </w:docVars>
  <w:rsids>
    <w:rsidRoot w:val="9DDAF568"/>
    <w:rsid w:val="06BB2C5D"/>
    <w:rsid w:val="1D6B500B"/>
    <w:rsid w:val="339B55AB"/>
    <w:rsid w:val="3BFF2F19"/>
    <w:rsid w:val="3C3C5FDA"/>
    <w:rsid w:val="3CF9B7C6"/>
    <w:rsid w:val="3FDDC60B"/>
    <w:rsid w:val="3FEA8DDF"/>
    <w:rsid w:val="4218213A"/>
    <w:rsid w:val="43BBB0B9"/>
    <w:rsid w:val="59F7876A"/>
    <w:rsid w:val="5B618447"/>
    <w:rsid w:val="5DD72D0E"/>
    <w:rsid w:val="60AE64F0"/>
    <w:rsid w:val="63FF8386"/>
    <w:rsid w:val="67544ACA"/>
    <w:rsid w:val="67D9899C"/>
    <w:rsid w:val="6FFF297E"/>
    <w:rsid w:val="777D04FB"/>
    <w:rsid w:val="77FEEB26"/>
    <w:rsid w:val="7FFFDE71"/>
    <w:rsid w:val="9DDAF568"/>
    <w:rsid w:val="A5DF40F1"/>
    <w:rsid w:val="BFE39821"/>
    <w:rsid w:val="D9FEEABE"/>
    <w:rsid w:val="EBFD2172"/>
    <w:rsid w:val="F6ED8782"/>
    <w:rsid w:val="F7AF5C38"/>
    <w:rsid w:val="F7B98F63"/>
    <w:rsid w:val="F7F89B45"/>
    <w:rsid w:val="FFBA2E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customStyle="1" w:styleId="10">
    <w:name w:val="WPSOffice手动目录 1"/>
    <w:qFormat/>
    <w:uiPriority w:val="0"/>
    <w:pPr>
      <w:ind w:leftChars="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863</Words>
  <Characters>913</Characters>
  <Lines>0</Lines>
  <Paragraphs>0</Paragraphs>
  <TotalTime>0</TotalTime>
  <ScaleCrop>false</ScaleCrop>
  <LinksUpToDate>false</LinksUpToDate>
  <CharactersWithSpaces>928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2024-05-15T01:48:00Z</dcterms:created>
  <dc:creator>八方影</dc:creator>
  <cp:lastModifiedBy>Administrator</cp:lastModifiedBy>
  <dcterms:modified xsi:type="dcterms:W3CDTF">2025-05-23T03:15:42Z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975ECC51FDA6FF27666B48661BD111D9_41</vt:lpwstr>
  </property>
  <property fmtid="{D5CDD505-2E9C-101B-9397-08002B2CF9AE}" pid="4" name="KSOTemplateDocerSaveRecord">
    <vt:lpwstr>eyJoZGlkIjoiYTY5NjExODg5YWRiNzk4OWQ4ZTkzM2FjYjJlNGZlZWQifQ==</vt:lpwstr>
  </property>
</Properties>
</file>