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adjustRightInd/>
        <w:jc w:val="center"/>
        <w:rPr>
          <w:rFonts w:ascii="宋体" w:hAnsi="宋体" w:eastAsia="宋体" w:cs="Times New Roman"/>
          <w:b/>
          <w:bCs/>
          <w:snapToGrid w:val="0"/>
          <w:color w:val="000000" w:themeColor="text1"/>
          <w:sz w:val="48"/>
          <w:szCs w:val="48"/>
          <w14:textFill>
            <w14:solidFill>
              <w14:schemeClr w14:val="tx1"/>
            </w14:solidFill>
          </w14:textFill>
        </w:rPr>
      </w:pPr>
      <w:r>
        <w:rPr>
          <w:rFonts w:hint="eastAsia" w:ascii="方正小标宋简体" w:hAnsi="宋体" w:eastAsia="方正小标宋简体" w:cs="Times New Roman"/>
          <w:b/>
          <w:bCs/>
          <w:snapToGrid w:val="0"/>
          <w:color w:val="000000" w:themeColor="text1"/>
          <w:sz w:val="44"/>
          <w:szCs w:val="44"/>
          <w14:textFill>
            <w14:solidFill>
              <w14:schemeClr w14:val="tx1"/>
            </w14:solidFill>
          </w14:textFill>
        </w:rPr>
        <w:t>云南省第八批国家组织药品集中采购部分残缺和未中选规格带量采购文件</w:t>
      </w:r>
    </w:p>
    <w:p>
      <w:pPr>
        <w:pStyle w:val="14"/>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jc w:val="center"/>
        <w:rPr>
          <w:rFonts w:ascii="宋体" w:hAnsi="宋体" w:eastAsia="宋体" w:cs="Times New Roman"/>
          <w:b/>
          <w:bCs/>
          <w:snapToGrid w:val="0"/>
          <w:color w:val="000000" w:themeColor="text1"/>
          <w:sz w:val="40"/>
          <w:szCs w:val="48"/>
          <w14:textFill>
            <w14:solidFill>
              <w14:schemeClr w14:val="tx1"/>
            </w14:solidFill>
          </w14:textFill>
        </w:rPr>
      </w:pPr>
      <w:r>
        <w:rPr>
          <w:rFonts w:hint="eastAsia" w:ascii="宋体" w:hAnsi="宋体" w:eastAsia="宋体" w:cs="Times New Roman"/>
          <w:b/>
          <w:bCs/>
          <w:snapToGrid w:val="0"/>
          <w:color w:val="000000" w:themeColor="text1"/>
          <w:sz w:val="40"/>
          <w:szCs w:val="48"/>
          <w14:textFill>
            <w14:solidFill>
              <w14:schemeClr w14:val="tx1"/>
            </w14:solidFill>
          </w14:textFill>
        </w:rPr>
        <w:t>采购文件编号：YNYPDL202</w:t>
      </w:r>
      <w:r>
        <w:rPr>
          <w:rFonts w:ascii="宋体" w:hAnsi="宋体" w:eastAsia="宋体" w:cs="Times New Roman"/>
          <w:b/>
          <w:bCs/>
          <w:snapToGrid w:val="0"/>
          <w:color w:val="000000" w:themeColor="text1"/>
          <w:sz w:val="40"/>
          <w:szCs w:val="48"/>
          <w14:textFill>
            <w14:solidFill>
              <w14:schemeClr w14:val="tx1"/>
            </w14:solidFill>
          </w14:textFill>
        </w:rPr>
        <w:t>3</w:t>
      </w:r>
      <w:r>
        <w:rPr>
          <w:rFonts w:hint="eastAsia" w:ascii="宋体" w:hAnsi="宋体" w:eastAsia="宋体" w:cs="Times New Roman"/>
          <w:b/>
          <w:bCs/>
          <w:snapToGrid w:val="0"/>
          <w:color w:val="000000" w:themeColor="text1"/>
          <w:sz w:val="40"/>
          <w:szCs w:val="48"/>
          <w14:textFill>
            <w14:solidFill>
              <w14:schemeClr w14:val="tx1"/>
            </w14:solidFill>
          </w14:textFill>
        </w:rPr>
        <w:t>0</w:t>
      </w:r>
      <w:r>
        <w:rPr>
          <w:rFonts w:ascii="宋体" w:hAnsi="宋体" w:eastAsia="宋体" w:cs="Times New Roman"/>
          <w:b/>
          <w:bCs/>
          <w:snapToGrid w:val="0"/>
          <w:color w:val="000000" w:themeColor="text1"/>
          <w:sz w:val="40"/>
          <w:szCs w:val="48"/>
          <w14:textFill>
            <w14:solidFill>
              <w14:schemeClr w14:val="tx1"/>
            </w14:solidFill>
          </w14:textFill>
        </w:rPr>
        <w:t>2</w:t>
      </w:r>
    </w:p>
    <w:p>
      <w:pPr>
        <w:pStyle w:val="13"/>
        <w:adjustRightInd/>
        <w:snapToGrid/>
        <w:spacing w:line="240" w:lineRule="auto"/>
        <w:jc w:val="both"/>
        <w:rPr>
          <w:rFonts w:ascii="宋体" w:eastAsia="宋体"/>
          <w:bCs/>
          <w:color w:val="000000" w:themeColor="text1"/>
          <w:sz w:val="44"/>
          <w14:textFill>
            <w14:solidFill>
              <w14:schemeClr w14:val="tx1"/>
            </w14:solidFill>
          </w14:textFill>
        </w:rPr>
      </w:pPr>
    </w:p>
    <w:p>
      <w:pPr>
        <w:pStyle w:val="13"/>
        <w:adjustRightInd/>
        <w:snapToGrid/>
        <w:spacing w:line="240" w:lineRule="auto"/>
        <w:jc w:val="both"/>
        <w:rPr>
          <w:rFonts w:ascii="宋体" w:eastAsia="宋体"/>
          <w:bCs/>
          <w:color w:val="000000" w:themeColor="text1"/>
          <w:sz w:val="44"/>
          <w14:textFill>
            <w14:solidFill>
              <w14:schemeClr w14:val="tx1"/>
            </w14:solidFill>
          </w14:textFill>
        </w:rPr>
      </w:pPr>
    </w:p>
    <w:p>
      <w:pPr>
        <w:pStyle w:val="13"/>
        <w:adjustRightInd/>
        <w:snapToGrid/>
        <w:spacing w:line="240" w:lineRule="auto"/>
        <w:jc w:val="both"/>
        <w:rPr>
          <w:rFonts w:ascii="宋体" w:eastAsia="宋体"/>
          <w:bCs/>
          <w:color w:val="000000" w:themeColor="text1"/>
          <w:sz w:val="44"/>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云南省政府采购和出让中心</w:t>
      </w:r>
    </w:p>
    <w:p>
      <w:pPr>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202</w:t>
      </w:r>
      <w:r>
        <w:rPr>
          <w:rFonts w:ascii="宋体" w:hAnsi="宋体"/>
          <w:b/>
          <w:color w:val="000000" w:themeColor="text1"/>
          <w:sz w:val="36"/>
          <w:szCs w:val="36"/>
          <w14:textFill>
            <w14:solidFill>
              <w14:schemeClr w14:val="tx1"/>
            </w14:solidFill>
          </w14:textFill>
        </w:rPr>
        <w:t>3</w:t>
      </w:r>
      <w:r>
        <w:rPr>
          <w:rFonts w:hint="eastAsia" w:ascii="宋体" w:hAnsi="宋体"/>
          <w:b/>
          <w:color w:val="000000" w:themeColor="text1"/>
          <w:sz w:val="36"/>
          <w:szCs w:val="36"/>
          <w14:textFill>
            <w14:solidFill>
              <w14:schemeClr w14:val="tx1"/>
            </w14:solidFill>
          </w14:textFill>
        </w:rPr>
        <w:t>年</w:t>
      </w:r>
      <w:r>
        <w:rPr>
          <w:rFonts w:ascii="宋体" w:hAnsi="宋体"/>
          <w:b/>
          <w:color w:val="000000" w:themeColor="text1"/>
          <w:sz w:val="36"/>
          <w:szCs w:val="36"/>
          <w14:textFill>
            <w14:solidFill>
              <w14:schemeClr w14:val="tx1"/>
            </w14:solidFill>
          </w14:textFill>
        </w:rPr>
        <w:t>6</w:t>
      </w:r>
      <w:r>
        <w:rPr>
          <w:rFonts w:hint="eastAsia" w:ascii="宋体" w:hAnsi="宋体"/>
          <w:b/>
          <w:color w:val="000000" w:themeColor="text1"/>
          <w:sz w:val="36"/>
          <w:szCs w:val="36"/>
          <w14:textFill>
            <w14:solidFill>
              <w14:schemeClr w14:val="tx1"/>
            </w14:solidFill>
          </w14:textFill>
        </w:rPr>
        <w:t>月</w:t>
      </w:r>
    </w:p>
    <w:p>
      <w:pPr>
        <w:jc w:val="center"/>
        <w:rPr>
          <w:rFonts w:ascii="方正小标宋简体" w:hAnsi="宋体" w:eastAsia="方正小标宋简体"/>
          <w:b/>
          <w:color w:val="000000" w:themeColor="text1"/>
          <w:sz w:val="44"/>
          <w:szCs w:val="36"/>
          <w14:textFill>
            <w14:solidFill>
              <w14:schemeClr w14:val="tx1"/>
            </w14:solidFill>
          </w14:textFill>
        </w:rPr>
        <w:sectPr>
          <w:footerReference r:id="rId3" w:type="default"/>
          <w:pgSz w:w="11906" w:h="16838"/>
          <w:pgMar w:top="1440" w:right="1797" w:bottom="1440" w:left="1797" w:header="851" w:footer="992" w:gutter="0"/>
          <w:pgNumType w:fmt="numberInDash"/>
          <w:cols w:space="425" w:num="1"/>
          <w:docGrid w:type="lines" w:linePitch="312" w:charSpace="0"/>
        </w:sectPr>
      </w:pPr>
    </w:p>
    <w:p>
      <w:pPr>
        <w:jc w:val="center"/>
        <w:rPr>
          <w:rFonts w:ascii="方正小标宋简体" w:hAnsi="宋体" w:eastAsia="方正小标宋简体"/>
          <w:b/>
          <w:color w:val="000000" w:themeColor="text1"/>
          <w:sz w:val="44"/>
          <w:szCs w:val="36"/>
          <w14:textFill>
            <w14:solidFill>
              <w14:schemeClr w14:val="tx1"/>
            </w14:solidFill>
          </w14:textFill>
        </w:rPr>
      </w:pPr>
      <w:r>
        <w:rPr>
          <w:rFonts w:hint="eastAsia" w:ascii="方正小标宋简体" w:hAnsi="宋体" w:eastAsia="方正小标宋简体"/>
          <w:b/>
          <w:color w:val="000000" w:themeColor="text1"/>
          <w:sz w:val="44"/>
          <w:szCs w:val="36"/>
          <w14:textFill>
            <w14:solidFill>
              <w14:schemeClr w14:val="tx1"/>
            </w14:solidFill>
          </w14:textFill>
        </w:rPr>
        <w:t>第一章 公告</w:t>
      </w:r>
    </w:p>
    <w:p>
      <w:pPr>
        <w:jc w:val="center"/>
        <w:rPr>
          <w:rFonts w:ascii="宋体" w:hAnsi="宋体"/>
          <w:b/>
          <w:color w:val="000000" w:themeColor="text1"/>
          <w:sz w:val="36"/>
          <w:szCs w:val="36"/>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根据《国务院办公厅关于印发国家组织药品集中采购和使用试点方案的通知》(国办发〔2019]2号）、《云南省药品和医用耗材动态挂网方案》(云医保〔2022]92号）、《云南省医疗保障局关于开展第八批国家组织药品集中采购部分残缺和未中选规格集中带量采购的函》以及相关招标采购政策，制定《云南省第八批国家组织药品集中采购部分残缺规格和未中选规格带量采购文件》（以下简称《采购文件》）。欢迎符合条件的药品生产企业，参与本次药品集中采购工作。</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一、采购主体</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全省医疗机构和医保定点药店。</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二、采购周期</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采购周期原则上一年。</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三、采购目录及采购量</w:t>
      </w:r>
    </w:p>
    <w:tbl>
      <w:tblPr>
        <w:tblStyle w:val="6"/>
        <w:tblW w:w="9067" w:type="dxa"/>
        <w:tblInd w:w="113" w:type="dxa"/>
        <w:tblLayout w:type="autofit"/>
        <w:tblCellMar>
          <w:top w:w="0" w:type="dxa"/>
          <w:left w:w="108" w:type="dxa"/>
          <w:bottom w:w="0" w:type="dxa"/>
          <w:right w:w="108" w:type="dxa"/>
        </w:tblCellMar>
      </w:tblPr>
      <w:tblGrid>
        <w:gridCol w:w="791"/>
        <w:gridCol w:w="3137"/>
        <w:gridCol w:w="3187"/>
        <w:gridCol w:w="1952"/>
      </w:tblGrid>
      <w:tr>
        <w:tblPrEx>
          <w:tblCellMar>
            <w:top w:w="0" w:type="dxa"/>
            <w:left w:w="108" w:type="dxa"/>
            <w:bottom w:w="0" w:type="dxa"/>
            <w:right w:w="108" w:type="dxa"/>
          </w:tblCellMar>
        </w:tblPrEx>
        <w:trPr>
          <w:trHeight w:val="285" w:hRule="atLeast"/>
        </w:trPr>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品种序号</w:t>
            </w:r>
          </w:p>
        </w:tc>
        <w:tc>
          <w:tcPr>
            <w:tcW w:w="3137" w:type="dxa"/>
            <w:tcBorders>
              <w:top w:val="single" w:color="000000" w:sz="4" w:space="0"/>
              <w:left w:val="nil"/>
              <w:bottom w:val="single" w:color="000000" w:sz="4" w:space="0"/>
              <w:right w:val="single" w:color="000000" w:sz="4" w:space="0"/>
            </w:tcBorders>
            <w:shd w:val="clear" w:color="auto" w:fill="auto"/>
            <w:noWrap/>
            <w:vAlign w:val="bottom"/>
          </w:tcPr>
          <w:p>
            <w:pPr>
              <w:widowControl/>
              <w:adjustRightInd w:val="0"/>
              <w:snapToGrid w:val="0"/>
              <w:spacing w:line="600" w:lineRule="exact"/>
              <w:jc w:val="center"/>
              <w:rPr>
                <w:rFonts w:ascii="宋体" w:hAnsi="宋体" w:cs="宋体"/>
                <w:b/>
                <w:color w:val="000000" w:themeColor="text1"/>
                <w:kern w:val="0"/>
                <w:sz w:val="24"/>
                <w:lang w:bidi="ar"/>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品种名称</w:t>
            </w:r>
          </w:p>
        </w:tc>
        <w:tc>
          <w:tcPr>
            <w:tcW w:w="3187" w:type="dxa"/>
            <w:tcBorders>
              <w:top w:val="single" w:color="000000" w:sz="4" w:space="0"/>
              <w:left w:val="nil"/>
              <w:bottom w:val="single" w:color="000000" w:sz="4" w:space="0"/>
              <w:right w:val="single" w:color="000000" w:sz="4" w:space="0"/>
            </w:tcBorders>
            <w:shd w:val="clear" w:color="auto" w:fill="auto"/>
            <w:noWrap/>
            <w:vAlign w:val="bottom"/>
          </w:tcPr>
          <w:p>
            <w:pPr>
              <w:widowControl/>
              <w:jc w:val="center"/>
              <w:textAlignment w:val="center"/>
              <w:rPr>
                <w:rFonts w:ascii="宋体" w:hAnsi="宋体" w:cs="宋体"/>
                <w:b/>
                <w:color w:val="000000" w:themeColor="text1"/>
                <w:kern w:val="0"/>
                <w:sz w:val="24"/>
                <w:lang w:bidi="ar"/>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规格</w:t>
            </w:r>
          </w:p>
        </w:tc>
        <w:tc>
          <w:tcPr>
            <w:tcW w:w="1952" w:type="dxa"/>
            <w:tcBorders>
              <w:top w:val="single" w:color="000000" w:sz="4" w:space="0"/>
              <w:left w:val="nil"/>
              <w:bottom w:val="single" w:color="000000" w:sz="4" w:space="0"/>
              <w:right w:val="single" w:color="000000" w:sz="4" w:space="0"/>
            </w:tcBorders>
            <w:shd w:val="clear" w:color="auto" w:fill="auto"/>
            <w:noWrap/>
            <w:vAlign w:val="bottom"/>
          </w:tcPr>
          <w:p>
            <w:pPr>
              <w:widowControl/>
              <w:jc w:val="center"/>
              <w:textAlignment w:val="center"/>
              <w:rPr>
                <w:rFonts w:ascii="宋体" w:hAnsi="宋体" w:cs="宋体"/>
                <w:b/>
                <w:color w:val="000000" w:themeColor="text1"/>
                <w:kern w:val="0"/>
                <w:sz w:val="24"/>
                <w:lang w:bidi="ar"/>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预采购量</w:t>
            </w:r>
          </w:p>
          <w:p>
            <w:pPr>
              <w:widowControl/>
              <w:jc w:val="center"/>
              <w:textAlignment w:val="center"/>
              <w:rPr>
                <w:rFonts w:ascii="宋体" w:hAnsi="宋体" w:cs="宋体"/>
                <w:b/>
                <w:bCs/>
                <w:color w:val="000000" w:themeColor="text1"/>
                <w:kern w:val="0"/>
                <w:sz w:val="22"/>
                <w:szCs w:val="22"/>
                <w14:textFill>
                  <w14:solidFill>
                    <w14:schemeClr w14:val="tx1"/>
                  </w14:solidFill>
                </w14:textFill>
              </w:rPr>
            </w:pPr>
            <w:r>
              <w:rPr>
                <w:rFonts w:hint="eastAsia" w:ascii="宋体" w:hAnsi="宋体" w:cs="宋体"/>
                <w:b/>
                <w:color w:val="000000" w:themeColor="text1"/>
                <w:kern w:val="0"/>
                <w:sz w:val="24"/>
                <w:lang w:bidi="ar"/>
                <w14:textFill>
                  <w14:solidFill>
                    <w14:schemeClr w14:val="tx1"/>
                  </w14:solidFill>
                </w14:textFill>
              </w:rPr>
              <w:t>（片/粒/袋/支）</w:t>
            </w:r>
          </w:p>
        </w:tc>
      </w:tr>
      <w:tr>
        <w:tblPrEx>
          <w:tblCellMar>
            <w:top w:w="0" w:type="dxa"/>
            <w:left w:w="108" w:type="dxa"/>
            <w:bottom w:w="0" w:type="dxa"/>
            <w:right w:w="108" w:type="dxa"/>
          </w:tblCellMar>
        </w:tblPrEx>
        <w:trPr>
          <w:trHeight w:val="556" w:hRule="atLeast"/>
        </w:trPr>
        <w:tc>
          <w:tcPr>
            <w:tcW w:w="791" w:type="dxa"/>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w:t>
            </w:r>
          </w:p>
        </w:tc>
        <w:tc>
          <w:tcPr>
            <w:tcW w:w="3137" w:type="dxa"/>
            <w:tcBorders>
              <w:top w:val="nil"/>
              <w:left w:val="nil"/>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阿加曲班注射剂</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20ml :10mg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30221</w:t>
            </w:r>
          </w:p>
        </w:tc>
      </w:tr>
      <w:tr>
        <w:tblPrEx>
          <w:tblCellMar>
            <w:top w:w="0" w:type="dxa"/>
            <w:left w:w="108" w:type="dxa"/>
            <w:bottom w:w="0" w:type="dxa"/>
            <w:right w:w="108" w:type="dxa"/>
          </w:tblCellMar>
        </w:tblPrEx>
        <w:trPr>
          <w:trHeight w:val="765" w:hRule="atLeast"/>
        </w:trPr>
        <w:tc>
          <w:tcPr>
            <w:tcW w:w="791"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2</w:t>
            </w:r>
          </w:p>
        </w:tc>
        <w:tc>
          <w:tcPr>
            <w:tcW w:w="3137"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ascii="宋体" w:hAnsi="宋体" w:cs="宋体"/>
                <w:color w:val="000000"/>
                <w:kern w:val="0"/>
                <w:sz w:val="22"/>
                <w:szCs w:val="22"/>
                <w:lang w:bidi="ar"/>
              </w:rPr>
              <w:t>▲</w:t>
            </w:r>
            <w:r>
              <w:rPr>
                <w:rFonts w:hint="eastAsia" w:ascii="宋体" w:hAnsi="宋体" w:cs="宋体"/>
                <w:color w:val="000000"/>
                <w:kern w:val="0"/>
                <w:sz w:val="22"/>
                <w:szCs w:val="22"/>
                <w:lang w:bidi="ar"/>
              </w:rPr>
              <w:t>氨氯地平阿托伐他汀口服常释剂型</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rPr>
                <w:rFonts w:ascii="宋体" w:hAnsi="宋体" w:cs="宋体"/>
                <w:color w:val="000000"/>
                <w:kern w:val="0"/>
                <w:sz w:val="22"/>
                <w:szCs w:val="22"/>
                <w:lang w:bidi="ar"/>
              </w:rPr>
            </w:pPr>
            <w:r>
              <w:rPr>
                <w:rFonts w:ascii="宋体" w:hAnsi="宋体" w:cs="宋体"/>
                <w:color w:val="000000"/>
                <w:kern w:val="0"/>
                <w:sz w:val="22"/>
                <w:szCs w:val="22"/>
                <w:lang w:bidi="ar"/>
              </w:rPr>
              <w:t>10mg/10mg(</w:t>
            </w:r>
            <w:r>
              <w:rPr>
                <w:rFonts w:hint="eastAsia" w:ascii="宋体" w:hAnsi="宋体" w:cs="宋体"/>
                <w:color w:val="000000"/>
                <w:kern w:val="0"/>
                <w:sz w:val="22"/>
                <w:szCs w:val="22"/>
                <w:lang w:bidi="ar"/>
              </w:rPr>
              <w:t>以氨氯地平</w:t>
            </w:r>
            <w:r>
              <w:rPr>
                <w:rFonts w:ascii="宋体" w:hAnsi="宋体" w:cs="宋体"/>
                <w:color w:val="000000"/>
                <w:kern w:val="0"/>
                <w:sz w:val="22"/>
                <w:szCs w:val="22"/>
                <w:lang w:bidi="ar"/>
              </w:rPr>
              <w:t>/</w:t>
            </w:r>
            <w:r>
              <w:rPr>
                <w:rFonts w:hint="eastAsia" w:ascii="宋体" w:hAnsi="宋体" w:cs="宋体"/>
                <w:color w:val="000000"/>
                <w:kern w:val="0"/>
                <w:sz w:val="22"/>
                <w:szCs w:val="22"/>
                <w:lang w:bidi="ar"/>
              </w:rPr>
              <w:t>阿托伐他汀计</w:t>
            </w:r>
            <w:r>
              <w:rPr>
                <w:rFonts w:ascii="宋体" w:hAnsi="宋体" w:cs="宋体"/>
                <w:color w:val="000000"/>
                <w:kern w:val="0"/>
                <w:sz w:val="22"/>
                <w:szCs w:val="22"/>
                <w:lang w:bidi="ar"/>
              </w:rPr>
              <w:t>)</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16960</w:t>
            </w:r>
          </w:p>
        </w:tc>
      </w:tr>
      <w:tr>
        <w:tblPrEx>
          <w:tblCellMar>
            <w:top w:w="0" w:type="dxa"/>
            <w:left w:w="108" w:type="dxa"/>
            <w:bottom w:w="0" w:type="dxa"/>
            <w:right w:w="108" w:type="dxa"/>
          </w:tblCellMar>
        </w:tblPrEx>
        <w:trPr>
          <w:trHeight w:val="285"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5mg/20mg (</w:t>
            </w:r>
            <w:r>
              <w:rPr>
                <w:rFonts w:hint="eastAsia" w:ascii="宋体" w:hAnsi="宋体" w:cs="宋体"/>
                <w:color w:val="000000"/>
                <w:kern w:val="0"/>
                <w:sz w:val="22"/>
                <w:szCs w:val="22"/>
                <w:lang w:bidi="ar"/>
              </w:rPr>
              <w:t>以氨氯地平</w:t>
            </w:r>
            <w:r>
              <w:rPr>
                <w:rFonts w:ascii="宋体" w:hAnsi="宋体" w:cs="宋体"/>
                <w:color w:val="000000"/>
                <w:kern w:val="0"/>
                <w:sz w:val="22"/>
                <w:szCs w:val="22"/>
                <w:lang w:bidi="ar"/>
              </w:rPr>
              <w:t>/</w:t>
            </w:r>
            <w:r>
              <w:rPr>
                <w:rFonts w:hint="eastAsia" w:ascii="宋体" w:hAnsi="宋体" w:cs="宋体"/>
                <w:color w:val="000000"/>
                <w:kern w:val="0"/>
                <w:sz w:val="22"/>
                <w:szCs w:val="22"/>
                <w:lang w:bidi="ar"/>
              </w:rPr>
              <w:t>阿托伐他汀计</w:t>
            </w:r>
            <w:r>
              <w:rPr>
                <w:rFonts w:ascii="宋体" w:hAnsi="宋体" w:cs="宋体"/>
                <w:color w:val="000000"/>
                <w:kern w:val="0"/>
                <w:sz w:val="22"/>
                <w:szCs w:val="22"/>
                <w:lang w:bidi="ar"/>
              </w:rPr>
              <w:t>)</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5585</w:t>
            </w:r>
          </w:p>
        </w:tc>
      </w:tr>
      <w:tr>
        <w:tblPrEx>
          <w:tblCellMar>
            <w:top w:w="0" w:type="dxa"/>
            <w:left w:w="108" w:type="dxa"/>
            <w:bottom w:w="0" w:type="dxa"/>
            <w:right w:w="108" w:type="dxa"/>
          </w:tblCellMar>
        </w:tblPrEx>
        <w:trPr>
          <w:trHeight w:val="670"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5mg/40mg (</w:t>
            </w:r>
            <w:r>
              <w:rPr>
                <w:rFonts w:hint="eastAsia" w:ascii="宋体" w:hAnsi="宋体" w:cs="宋体"/>
                <w:color w:val="000000"/>
                <w:kern w:val="0"/>
                <w:sz w:val="22"/>
                <w:szCs w:val="22"/>
                <w:lang w:bidi="ar"/>
              </w:rPr>
              <w:t>以氨氯地平</w:t>
            </w:r>
            <w:r>
              <w:rPr>
                <w:rFonts w:ascii="宋体" w:hAnsi="宋体" w:cs="宋体"/>
                <w:color w:val="000000"/>
                <w:kern w:val="0"/>
                <w:sz w:val="22"/>
                <w:szCs w:val="22"/>
                <w:lang w:bidi="ar"/>
              </w:rPr>
              <w:t>/</w:t>
            </w:r>
            <w:r>
              <w:rPr>
                <w:rFonts w:hint="eastAsia" w:ascii="宋体" w:hAnsi="宋体" w:cs="宋体"/>
                <w:color w:val="000000"/>
                <w:kern w:val="0"/>
                <w:sz w:val="22"/>
                <w:szCs w:val="22"/>
                <w:lang w:bidi="ar"/>
              </w:rPr>
              <w:t>阿托伐他汀计</w:t>
            </w:r>
            <w:r>
              <w:rPr>
                <w:rFonts w:ascii="宋体" w:hAnsi="宋体" w:cs="宋体"/>
                <w:color w:val="000000"/>
                <w:kern w:val="0"/>
                <w:sz w:val="22"/>
                <w:szCs w:val="22"/>
                <w:lang w:bidi="ar"/>
              </w:rPr>
              <w:t>)</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400</w:t>
            </w:r>
          </w:p>
        </w:tc>
      </w:tr>
      <w:tr>
        <w:tblPrEx>
          <w:tblCellMar>
            <w:top w:w="0" w:type="dxa"/>
            <w:left w:w="108" w:type="dxa"/>
            <w:bottom w:w="0" w:type="dxa"/>
            <w:right w:w="108" w:type="dxa"/>
          </w:tblCellMar>
        </w:tblPrEx>
        <w:trPr>
          <w:trHeight w:val="493" w:hRule="atLeast"/>
        </w:trPr>
        <w:tc>
          <w:tcPr>
            <w:tcW w:w="791"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3</w:t>
            </w:r>
          </w:p>
        </w:tc>
        <w:tc>
          <w:tcPr>
            <w:tcW w:w="3137"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丙戊酸钠注射剂</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4ml :0.4g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128374</w:t>
            </w:r>
          </w:p>
        </w:tc>
      </w:tr>
      <w:tr>
        <w:tblPrEx>
          <w:tblCellMar>
            <w:top w:w="0" w:type="dxa"/>
            <w:left w:w="108" w:type="dxa"/>
            <w:bottom w:w="0" w:type="dxa"/>
            <w:right w:w="108" w:type="dxa"/>
          </w:tblCellMar>
        </w:tblPrEx>
        <w:trPr>
          <w:trHeight w:val="610"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5ml :0.5g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24</w:t>
            </w:r>
          </w:p>
        </w:tc>
      </w:tr>
      <w:tr>
        <w:tblPrEx>
          <w:tblCellMar>
            <w:top w:w="0" w:type="dxa"/>
            <w:left w:w="108" w:type="dxa"/>
            <w:bottom w:w="0" w:type="dxa"/>
            <w:right w:w="108" w:type="dxa"/>
          </w:tblCellMar>
        </w:tblPrEx>
        <w:trPr>
          <w:trHeight w:val="557" w:hRule="atLeast"/>
        </w:trPr>
        <w:tc>
          <w:tcPr>
            <w:tcW w:w="791"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4</w:t>
            </w:r>
          </w:p>
        </w:tc>
        <w:tc>
          <w:tcPr>
            <w:tcW w:w="3137"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非洛地平非洛地平Ⅱ缓释控释剂型</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2.5mg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695481</w:t>
            </w:r>
          </w:p>
        </w:tc>
      </w:tr>
      <w:tr>
        <w:tblPrEx>
          <w:tblCellMar>
            <w:top w:w="0" w:type="dxa"/>
            <w:left w:w="108" w:type="dxa"/>
            <w:bottom w:w="0" w:type="dxa"/>
            <w:right w:w="108" w:type="dxa"/>
          </w:tblCellMar>
        </w:tblPrEx>
        <w:trPr>
          <w:trHeight w:val="565"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10mg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340056</w:t>
            </w:r>
          </w:p>
        </w:tc>
      </w:tr>
      <w:tr>
        <w:tblPrEx>
          <w:tblCellMar>
            <w:top w:w="0" w:type="dxa"/>
            <w:left w:w="108" w:type="dxa"/>
            <w:bottom w:w="0" w:type="dxa"/>
            <w:right w:w="108" w:type="dxa"/>
          </w:tblCellMar>
        </w:tblPrEx>
        <w:trPr>
          <w:trHeight w:val="574" w:hRule="atLeast"/>
        </w:trPr>
        <w:tc>
          <w:tcPr>
            <w:tcW w:w="791" w:type="dxa"/>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5</w:t>
            </w:r>
          </w:p>
        </w:tc>
        <w:tc>
          <w:tcPr>
            <w:tcW w:w="3137" w:type="dxa"/>
            <w:tcBorders>
              <w:top w:val="nil"/>
              <w:left w:val="nil"/>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那屈肝素（那曲肝素）注射剂</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0.3ml :3075AxaIU</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151608</w:t>
            </w:r>
          </w:p>
        </w:tc>
      </w:tr>
      <w:tr>
        <w:tblPrEx>
          <w:tblCellMar>
            <w:top w:w="0" w:type="dxa"/>
            <w:left w:w="108" w:type="dxa"/>
            <w:bottom w:w="0" w:type="dxa"/>
            <w:right w:w="108" w:type="dxa"/>
          </w:tblCellMar>
        </w:tblPrEx>
        <w:trPr>
          <w:trHeight w:val="553" w:hRule="atLeast"/>
        </w:trPr>
        <w:tc>
          <w:tcPr>
            <w:tcW w:w="791" w:type="dxa"/>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6</w:t>
            </w:r>
          </w:p>
        </w:tc>
        <w:tc>
          <w:tcPr>
            <w:tcW w:w="3137" w:type="dxa"/>
            <w:tcBorders>
              <w:top w:val="nil"/>
              <w:left w:val="nil"/>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生长抑素注射剂</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0.25mg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2236</w:t>
            </w:r>
          </w:p>
        </w:tc>
      </w:tr>
      <w:tr>
        <w:tblPrEx>
          <w:tblCellMar>
            <w:top w:w="0" w:type="dxa"/>
            <w:left w:w="108" w:type="dxa"/>
            <w:bottom w:w="0" w:type="dxa"/>
            <w:right w:w="108" w:type="dxa"/>
          </w:tblCellMar>
        </w:tblPrEx>
        <w:trPr>
          <w:trHeight w:val="420" w:hRule="atLeast"/>
        </w:trPr>
        <w:tc>
          <w:tcPr>
            <w:tcW w:w="791"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7</w:t>
            </w:r>
          </w:p>
        </w:tc>
        <w:tc>
          <w:tcPr>
            <w:tcW w:w="3137"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酮咯酸氨丁三醇注射剂</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1ml :15mg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88148</w:t>
            </w:r>
          </w:p>
        </w:tc>
      </w:tr>
      <w:tr>
        <w:tblPrEx>
          <w:tblCellMar>
            <w:top w:w="0" w:type="dxa"/>
            <w:left w:w="108" w:type="dxa"/>
            <w:bottom w:w="0" w:type="dxa"/>
            <w:right w:w="108" w:type="dxa"/>
          </w:tblCellMar>
        </w:tblPrEx>
        <w:trPr>
          <w:trHeight w:val="555"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2ml :60mg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3200</w:t>
            </w:r>
          </w:p>
        </w:tc>
      </w:tr>
      <w:tr>
        <w:tblPrEx>
          <w:tblCellMar>
            <w:top w:w="0" w:type="dxa"/>
            <w:left w:w="108" w:type="dxa"/>
            <w:bottom w:w="0" w:type="dxa"/>
            <w:right w:w="108" w:type="dxa"/>
          </w:tblCellMar>
        </w:tblPrEx>
        <w:trPr>
          <w:trHeight w:val="405" w:hRule="atLeast"/>
        </w:trPr>
        <w:tc>
          <w:tcPr>
            <w:tcW w:w="791"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8</w:t>
            </w:r>
          </w:p>
        </w:tc>
        <w:tc>
          <w:tcPr>
            <w:tcW w:w="3137"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rPr>
                <w:rFonts w:ascii="宋体" w:hAnsi="宋体" w:cs="宋体"/>
                <w:color w:val="000000"/>
                <w:kern w:val="0"/>
                <w:sz w:val="22"/>
                <w:szCs w:val="22"/>
                <w:lang w:bidi="ar"/>
              </w:rPr>
            </w:pPr>
            <w:r>
              <w:rPr>
                <w:rFonts w:hint="eastAsia" w:ascii="宋体" w:hAnsi="宋体" w:cs="宋体"/>
                <w:color w:val="000000"/>
                <w:kern w:val="0"/>
                <w:sz w:val="22"/>
                <w:szCs w:val="22"/>
                <w:lang w:bidi="ar"/>
              </w:rPr>
              <w:t>托拉塞米注射剂</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2ml :20mg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103546</w:t>
            </w:r>
          </w:p>
        </w:tc>
      </w:tr>
      <w:tr>
        <w:tblPrEx>
          <w:tblCellMar>
            <w:top w:w="0" w:type="dxa"/>
            <w:left w:w="108" w:type="dxa"/>
            <w:bottom w:w="0" w:type="dxa"/>
            <w:right w:w="108" w:type="dxa"/>
          </w:tblCellMar>
        </w:tblPrEx>
        <w:trPr>
          <w:trHeight w:val="410"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4ml</w:t>
            </w:r>
            <w:r>
              <w:rPr>
                <w:rFonts w:hint="eastAsia" w:ascii="宋体" w:hAnsi="宋体" w:cs="宋体"/>
                <w:color w:val="000000"/>
                <w:kern w:val="0"/>
                <w:sz w:val="22"/>
                <w:szCs w:val="22"/>
                <w:lang w:bidi="ar"/>
              </w:rPr>
              <w:t>：</w:t>
            </w:r>
            <w:r>
              <w:rPr>
                <w:rFonts w:ascii="宋体" w:hAnsi="宋体" w:cs="宋体"/>
                <w:color w:val="000000"/>
                <w:kern w:val="0"/>
                <w:sz w:val="22"/>
                <w:szCs w:val="22"/>
                <w:lang w:bidi="ar"/>
              </w:rPr>
              <w:t>20mg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2907</w:t>
            </w:r>
          </w:p>
        </w:tc>
      </w:tr>
      <w:tr>
        <w:tblPrEx>
          <w:tblCellMar>
            <w:top w:w="0" w:type="dxa"/>
            <w:left w:w="108" w:type="dxa"/>
            <w:bottom w:w="0" w:type="dxa"/>
            <w:right w:w="108" w:type="dxa"/>
          </w:tblCellMar>
        </w:tblPrEx>
        <w:trPr>
          <w:trHeight w:val="558" w:hRule="atLeast"/>
        </w:trPr>
        <w:tc>
          <w:tcPr>
            <w:tcW w:w="791" w:type="dxa"/>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9</w:t>
            </w:r>
          </w:p>
        </w:tc>
        <w:tc>
          <w:tcPr>
            <w:tcW w:w="3137" w:type="dxa"/>
            <w:tcBorders>
              <w:top w:val="nil"/>
              <w:left w:val="nil"/>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左氨氯地平（左旋氨氯地平）</w:t>
            </w:r>
            <w:r>
              <w:rPr>
                <w:rFonts w:ascii="宋体" w:hAnsi="宋体" w:cs="宋体"/>
                <w:color w:val="000000"/>
                <w:kern w:val="0"/>
                <w:sz w:val="22"/>
                <w:szCs w:val="22"/>
                <w:lang w:bidi="ar"/>
              </w:rPr>
              <w:t xml:space="preserve"> </w:t>
            </w:r>
            <w:r>
              <w:rPr>
                <w:rFonts w:hint="eastAsia" w:ascii="宋体" w:hAnsi="宋体" w:cs="宋体"/>
                <w:color w:val="000000"/>
                <w:kern w:val="0"/>
                <w:sz w:val="22"/>
                <w:szCs w:val="22"/>
                <w:lang w:bidi="ar"/>
              </w:rPr>
              <w:t>口服常释剂型</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5mg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1148432</w:t>
            </w:r>
          </w:p>
        </w:tc>
      </w:tr>
      <w:tr>
        <w:tblPrEx>
          <w:tblCellMar>
            <w:top w:w="0" w:type="dxa"/>
            <w:left w:w="108" w:type="dxa"/>
            <w:bottom w:w="0" w:type="dxa"/>
            <w:right w:w="108" w:type="dxa"/>
          </w:tblCellMar>
        </w:tblPrEx>
        <w:trPr>
          <w:trHeight w:val="510" w:hRule="atLeast"/>
        </w:trPr>
        <w:tc>
          <w:tcPr>
            <w:tcW w:w="791"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10</w:t>
            </w:r>
          </w:p>
        </w:tc>
        <w:tc>
          <w:tcPr>
            <w:tcW w:w="3137"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ascii="宋体" w:hAnsi="宋体" w:cs="宋体"/>
                <w:color w:val="000000"/>
                <w:kern w:val="0"/>
                <w:sz w:val="22"/>
                <w:szCs w:val="22"/>
                <w:lang w:bidi="ar"/>
              </w:rPr>
              <w:t>▲</w:t>
            </w:r>
            <w:r>
              <w:rPr>
                <w:rFonts w:hint="eastAsia" w:ascii="宋体" w:hAnsi="宋体" w:cs="宋体"/>
                <w:color w:val="000000"/>
                <w:kern w:val="0"/>
                <w:sz w:val="22"/>
                <w:szCs w:val="22"/>
                <w:lang w:bidi="ar"/>
              </w:rPr>
              <w:t>阿莫西林克拉维酸口服常释剂型</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0.3125g (4:1)</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424839</w:t>
            </w:r>
          </w:p>
        </w:tc>
      </w:tr>
      <w:tr>
        <w:tblPrEx>
          <w:tblCellMar>
            <w:top w:w="0" w:type="dxa"/>
            <w:left w:w="108" w:type="dxa"/>
            <w:bottom w:w="0" w:type="dxa"/>
            <w:right w:w="108" w:type="dxa"/>
          </w:tblCellMar>
        </w:tblPrEx>
        <w:trPr>
          <w:trHeight w:val="362"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0.625g (4:1)</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1890</w:t>
            </w:r>
          </w:p>
        </w:tc>
      </w:tr>
      <w:tr>
        <w:tblPrEx>
          <w:tblCellMar>
            <w:top w:w="0" w:type="dxa"/>
            <w:left w:w="108" w:type="dxa"/>
            <w:bottom w:w="0" w:type="dxa"/>
            <w:right w:w="108" w:type="dxa"/>
          </w:tblCellMar>
        </w:tblPrEx>
        <w:trPr>
          <w:trHeight w:val="481" w:hRule="atLeast"/>
        </w:trPr>
        <w:tc>
          <w:tcPr>
            <w:tcW w:w="791" w:type="dxa"/>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11</w:t>
            </w:r>
          </w:p>
        </w:tc>
        <w:tc>
          <w:tcPr>
            <w:tcW w:w="3137" w:type="dxa"/>
            <w:tcBorders>
              <w:top w:val="nil"/>
              <w:left w:val="nil"/>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氨曲南注射剂</w:t>
            </w: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3920</w:t>
            </w:r>
          </w:p>
        </w:tc>
      </w:tr>
      <w:tr>
        <w:tblPrEx>
          <w:tblCellMar>
            <w:top w:w="0" w:type="dxa"/>
            <w:left w:w="108" w:type="dxa"/>
            <w:bottom w:w="0" w:type="dxa"/>
            <w:right w:w="108" w:type="dxa"/>
          </w:tblCellMar>
        </w:tblPrEx>
        <w:trPr>
          <w:trHeight w:val="561" w:hRule="atLeast"/>
        </w:trPr>
        <w:tc>
          <w:tcPr>
            <w:tcW w:w="791" w:type="dxa"/>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12</w:t>
            </w:r>
          </w:p>
        </w:tc>
        <w:tc>
          <w:tcPr>
            <w:tcW w:w="3137" w:type="dxa"/>
            <w:tcBorders>
              <w:top w:val="nil"/>
              <w:left w:val="nil"/>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甲硝唑注射剂型</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（以甲硝唑计）含甲硝唑</w:t>
            </w:r>
            <w:r>
              <w:rPr>
                <w:rFonts w:ascii="宋体" w:hAnsi="宋体" w:cs="宋体"/>
                <w:color w:val="000000"/>
                <w:kern w:val="0"/>
                <w:sz w:val="22"/>
                <w:szCs w:val="22"/>
                <w:lang w:bidi="ar"/>
              </w:rPr>
              <w:t>1.25g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37512</w:t>
            </w:r>
          </w:p>
        </w:tc>
      </w:tr>
      <w:tr>
        <w:tblPrEx>
          <w:tblCellMar>
            <w:top w:w="0" w:type="dxa"/>
            <w:left w:w="108" w:type="dxa"/>
            <w:bottom w:w="0" w:type="dxa"/>
            <w:right w:w="108" w:type="dxa"/>
          </w:tblCellMar>
        </w:tblPrEx>
        <w:trPr>
          <w:trHeight w:val="397" w:hRule="atLeast"/>
        </w:trPr>
        <w:tc>
          <w:tcPr>
            <w:tcW w:w="791"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13</w:t>
            </w:r>
          </w:p>
        </w:tc>
        <w:tc>
          <w:tcPr>
            <w:tcW w:w="3137"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利福平利福平Ⅱ口服常释剂型</w:t>
            </w: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0.225g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12950</w:t>
            </w:r>
          </w:p>
        </w:tc>
      </w:tr>
      <w:tr>
        <w:tblPrEx>
          <w:tblCellMar>
            <w:top w:w="0" w:type="dxa"/>
            <w:left w:w="108" w:type="dxa"/>
            <w:bottom w:w="0" w:type="dxa"/>
            <w:right w:w="108" w:type="dxa"/>
          </w:tblCellMar>
        </w:tblPrEx>
        <w:trPr>
          <w:trHeight w:val="419"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0.3g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1050</w:t>
            </w:r>
          </w:p>
        </w:tc>
      </w:tr>
      <w:tr>
        <w:tblPrEx>
          <w:tblCellMar>
            <w:top w:w="0" w:type="dxa"/>
            <w:left w:w="108" w:type="dxa"/>
            <w:bottom w:w="0" w:type="dxa"/>
            <w:right w:w="108" w:type="dxa"/>
          </w:tblCellMar>
        </w:tblPrEx>
        <w:trPr>
          <w:trHeight w:val="424" w:hRule="atLeast"/>
        </w:trPr>
        <w:tc>
          <w:tcPr>
            <w:tcW w:w="791" w:type="dxa"/>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14</w:t>
            </w:r>
          </w:p>
        </w:tc>
        <w:tc>
          <w:tcPr>
            <w:tcW w:w="3137" w:type="dxa"/>
            <w:tcBorders>
              <w:top w:val="nil"/>
              <w:left w:val="nil"/>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头孢西丁注射剂型</w:t>
            </w: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0.5g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57920</w:t>
            </w:r>
          </w:p>
        </w:tc>
      </w:tr>
      <w:tr>
        <w:tblPrEx>
          <w:tblCellMar>
            <w:top w:w="0" w:type="dxa"/>
            <w:left w:w="108" w:type="dxa"/>
            <w:bottom w:w="0" w:type="dxa"/>
            <w:right w:w="108" w:type="dxa"/>
          </w:tblCellMar>
        </w:tblPrEx>
        <w:trPr>
          <w:trHeight w:val="418" w:hRule="atLeast"/>
        </w:trPr>
        <w:tc>
          <w:tcPr>
            <w:tcW w:w="791"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15</w:t>
            </w:r>
          </w:p>
        </w:tc>
        <w:tc>
          <w:tcPr>
            <w:tcW w:w="3137"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头孢地嗪注射剂</w:t>
            </w: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0.25g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4263</w:t>
            </w:r>
          </w:p>
        </w:tc>
      </w:tr>
      <w:tr>
        <w:tblPrEx>
          <w:tblCellMar>
            <w:top w:w="0" w:type="dxa"/>
            <w:left w:w="108" w:type="dxa"/>
            <w:bottom w:w="0" w:type="dxa"/>
            <w:right w:w="108" w:type="dxa"/>
          </w:tblCellMar>
        </w:tblPrEx>
        <w:trPr>
          <w:trHeight w:val="412"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8162</w:t>
            </w:r>
          </w:p>
        </w:tc>
      </w:tr>
      <w:tr>
        <w:tblPrEx>
          <w:tblCellMar>
            <w:top w:w="0" w:type="dxa"/>
            <w:left w:w="108" w:type="dxa"/>
            <w:bottom w:w="0" w:type="dxa"/>
            <w:right w:w="108" w:type="dxa"/>
          </w:tblCellMar>
        </w:tblPrEx>
        <w:trPr>
          <w:trHeight w:val="874" w:hRule="atLeast"/>
        </w:trPr>
        <w:tc>
          <w:tcPr>
            <w:tcW w:w="791" w:type="dxa"/>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16</w:t>
            </w:r>
          </w:p>
        </w:tc>
        <w:tc>
          <w:tcPr>
            <w:tcW w:w="3137" w:type="dxa"/>
            <w:tcBorders>
              <w:top w:val="nil"/>
              <w:left w:val="nil"/>
              <w:bottom w:val="single" w:color="000000" w:sz="4" w:space="0"/>
              <w:right w:val="single" w:color="000000" w:sz="4" w:space="0"/>
            </w:tcBorders>
            <w:shd w:val="clear" w:color="auto" w:fill="auto"/>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哌拉西林他唑巴坦注射剂</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1.125g</w:t>
            </w:r>
            <w:r>
              <w:rPr>
                <w:rFonts w:hint="eastAsia" w:ascii="宋体" w:hAnsi="宋体" w:cs="宋体"/>
                <w:color w:val="000000"/>
                <w:kern w:val="0"/>
                <w:sz w:val="22"/>
                <w:szCs w:val="22"/>
                <w:lang w:bidi="ar"/>
              </w:rPr>
              <w:t>（哌拉西林</w:t>
            </w:r>
            <w:r>
              <w:rPr>
                <w:rFonts w:ascii="宋体" w:hAnsi="宋体" w:cs="宋体"/>
                <w:color w:val="000000"/>
                <w:kern w:val="0"/>
                <w:sz w:val="22"/>
                <w:szCs w:val="22"/>
                <w:lang w:bidi="ar"/>
              </w:rPr>
              <w:t>1.0g</w:t>
            </w:r>
            <w:r>
              <w:rPr>
                <w:rFonts w:hint="eastAsia" w:ascii="宋体" w:hAnsi="宋体" w:cs="宋体"/>
                <w:color w:val="000000"/>
                <w:kern w:val="0"/>
                <w:sz w:val="22"/>
                <w:szCs w:val="22"/>
                <w:lang w:bidi="ar"/>
              </w:rPr>
              <w:t>与他唑巴坦</w:t>
            </w:r>
            <w:r>
              <w:rPr>
                <w:rFonts w:ascii="宋体" w:hAnsi="宋体" w:cs="宋体"/>
                <w:color w:val="000000"/>
                <w:kern w:val="0"/>
                <w:sz w:val="22"/>
                <w:szCs w:val="22"/>
                <w:lang w:bidi="ar"/>
              </w:rPr>
              <w:t>0.125g</w:t>
            </w:r>
            <w:r>
              <w:rPr>
                <w:rFonts w:hint="eastAsia" w:ascii="宋体" w:hAnsi="宋体" w:cs="宋体"/>
                <w:color w:val="000000"/>
                <w:kern w:val="0"/>
                <w:sz w:val="22"/>
                <w:szCs w:val="22"/>
                <w:lang w:bidi="ar"/>
              </w:rPr>
              <w:t>）</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134565</w:t>
            </w:r>
          </w:p>
        </w:tc>
      </w:tr>
      <w:tr>
        <w:tblPrEx>
          <w:tblCellMar>
            <w:top w:w="0" w:type="dxa"/>
            <w:left w:w="108" w:type="dxa"/>
            <w:bottom w:w="0" w:type="dxa"/>
            <w:right w:w="108" w:type="dxa"/>
          </w:tblCellMar>
        </w:tblPrEx>
        <w:trPr>
          <w:trHeight w:val="405" w:hRule="atLeast"/>
        </w:trPr>
        <w:tc>
          <w:tcPr>
            <w:tcW w:w="791"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17</w:t>
            </w:r>
          </w:p>
        </w:tc>
        <w:tc>
          <w:tcPr>
            <w:tcW w:w="3137"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300" w:lineRule="exact"/>
              <w:jc w:val="left"/>
              <w:rPr>
                <w:rFonts w:ascii="宋体" w:hAnsi="宋体" w:cs="宋体"/>
                <w:color w:val="000000"/>
                <w:kern w:val="0"/>
                <w:sz w:val="22"/>
                <w:szCs w:val="22"/>
                <w:lang w:bidi="ar"/>
              </w:rPr>
            </w:pPr>
            <w:r>
              <w:rPr>
                <w:rFonts w:ascii="宋体" w:hAnsi="宋体" w:cs="宋体"/>
                <w:color w:val="000000"/>
                <w:kern w:val="0"/>
                <w:sz w:val="22"/>
                <w:szCs w:val="22"/>
                <w:lang w:bidi="ar"/>
              </w:rPr>
              <w:t>▲</w:t>
            </w:r>
            <w:r>
              <w:rPr>
                <w:rFonts w:hint="eastAsia" w:ascii="宋体" w:hAnsi="宋体" w:cs="宋体"/>
                <w:color w:val="000000"/>
                <w:kern w:val="0"/>
                <w:sz w:val="22"/>
                <w:szCs w:val="22"/>
                <w:lang w:bidi="ar"/>
              </w:rPr>
              <w:t>头孢哌酮舒巴坦注射剂</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0.5g (1:1)</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9670</w:t>
            </w:r>
          </w:p>
        </w:tc>
      </w:tr>
      <w:tr>
        <w:tblPrEx>
          <w:tblCellMar>
            <w:top w:w="0" w:type="dxa"/>
            <w:left w:w="108" w:type="dxa"/>
            <w:bottom w:w="0" w:type="dxa"/>
            <w:right w:w="108" w:type="dxa"/>
          </w:tblCellMar>
        </w:tblPrEx>
        <w:trPr>
          <w:trHeight w:val="389"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4g (1:1)</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50</w:t>
            </w:r>
          </w:p>
        </w:tc>
      </w:tr>
      <w:tr>
        <w:tblPrEx>
          <w:tblCellMar>
            <w:top w:w="0" w:type="dxa"/>
            <w:left w:w="108" w:type="dxa"/>
            <w:bottom w:w="0" w:type="dxa"/>
            <w:right w:w="108" w:type="dxa"/>
          </w:tblCellMar>
        </w:tblPrEx>
        <w:trPr>
          <w:trHeight w:val="411"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1.5g (2:1)</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1010848</w:t>
            </w:r>
          </w:p>
        </w:tc>
      </w:tr>
      <w:tr>
        <w:tblPrEx>
          <w:tblCellMar>
            <w:top w:w="0" w:type="dxa"/>
            <w:left w:w="108" w:type="dxa"/>
            <w:bottom w:w="0" w:type="dxa"/>
            <w:right w:w="108" w:type="dxa"/>
          </w:tblCellMar>
        </w:tblPrEx>
        <w:trPr>
          <w:trHeight w:val="414"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2.25g (2:1)</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1000</w:t>
            </w:r>
          </w:p>
        </w:tc>
      </w:tr>
      <w:tr>
        <w:tblPrEx>
          <w:tblCellMar>
            <w:top w:w="0" w:type="dxa"/>
            <w:left w:w="108" w:type="dxa"/>
            <w:bottom w:w="0" w:type="dxa"/>
            <w:right w:w="108" w:type="dxa"/>
          </w:tblCellMar>
        </w:tblPrEx>
        <w:trPr>
          <w:trHeight w:val="463"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1.5g</w:t>
            </w:r>
            <w:r>
              <w:rPr>
                <w:rFonts w:hint="eastAsia" w:ascii="宋体" w:hAnsi="宋体" w:cs="宋体"/>
                <w:color w:val="000000"/>
                <w:kern w:val="0"/>
                <w:sz w:val="22"/>
                <w:szCs w:val="22"/>
                <w:lang w:bidi="ar"/>
              </w:rPr>
              <w:t>（</w:t>
            </w:r>
            <w:r>
              <w:rPr>
                <w:rFonts w:ascii="宋体" w:hAnsi="宋体" w:cs="宋体"/>
                <w:color w:val="000000"/>
                <w:kern w:val="0"/>
                <w:sz w:val="22"/>
                <w:szCs w:val="22"/>
                <w:lang w:bidi="ar"/>
              </w:rPr>
              <w:t>1:1</w:t>
            </w:r>
            <w:r>
              <w:rPr>
                <w:rFonts w:hint="eastAsia" w:ascii="宋体" w:hAnsi="宋体" w:cs="宋体"/>
                <w:color w:val="000000"/>
                <w:kern w:val="0"/>
                <w:sz w:val="22"/>
                <w:szCs w:val="22"/>
                <w:lang w:bidi="ar"/>
              </w:rPr>
              <w:t>）</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198040</w:t>
            </w:r>
          </w:p>
        </w:tc>
      </w:tr>
      <w:tr>
        <w:tblPrEx>
          <w:tblCellMar>
            <w:top w:w="0" w:type="dxa"/>
            <w:left w:w="108" w:type="dxa"/>
            <w:bottom w:w="0" w:type="dxa"/>
            <w:right w:w="108" w:type="dxa"/>
          </w:tblCellMar>
        </w:tblPrEx>
        <w:trPr>
          <w:trHeight w:val="410"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3g (2:1)</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81496</w:t>
            </w:r>
          </w:p>
        </w:tc>
      </w:tr>
      <w:tr>
        <w:tblPrEx>
          <w:tblCellMar>
            <w:top w:w="0" w:type="dxa"/>
            <w:left w:w="108" w:type="dxa"/>
            <w:bottom w:w="0" w:type="dxa"/>
            <w:right w:w="108" w:type="dxa"/>
          </w:tblCellMar>
        </w:tblPrEx>
        <w:trPr>
          <w:trHeight w:val="285" w:hRule="atLeast"/>
        </w:trPr>
        <w:tc>
          <w:tcPr>
            <w:tcW w:w="791" w:type="dxa"/>
            <w:vMerge w:val="restart"/>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18</w:t>
            </w:r>
          </w:p>
        </w:tc>
        <w:tc>
          <w:tcPr>
            <w:tcW w:w="3137" w:type="dxa"/>
            <w:vMerge w:val="restart"/>
            <w:tcBorders>
              <w:top w:val="nil"/>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头孢噻肟注射剂</w:t>
            </w: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0.25g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3960</w:t>
            </w:r>
          </w:p>
        </w:tc>
      </w:tr>
      <w:tr>
        <w:tblPrEx>
          <w:tblCellMar>
            <w:top w:w="0" w:type="dxa"/>
            <w:left w:w="108" w:type="dxa"/>
            <w:bottom w:w="0" w:type="dxa"/>
            <w:right w:w="108" w:type="dxa"/>
          </w:tblCellMar>
        </w:tblPrEx>
        <w:trPr>
          <w:trHeight w:val="285"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424449</w:t>
            </w:r>
          </w:p>
        </w:tc>
      </w:tr>
      <w:tr>
        <w:tblPrEx>
          <w:tblCellMar>
            <w:top w:w="0" w:type="dxa"/>
            <w:left w:w="108" w:type="dxa"/>
            <w:bottom w:w="0" w:type="dxa"/>
            <w:right w:w="108" w:type="dxa"/>
          </w:tblCellMar>
        </w:tblPrEx>
        <w:trPr>
          <w:trHeight w:val="285"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0.5g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184511</w:t>
            </w:r>
          </w:p>
        </w:tc>
      </w:tr>
      <w:tr>
        <w:tblPrEx>
          <w:tblCellMar>
            <w:top w:w="0" w:type="dxa"/>
            <w:left w:w="108" w:type="dxa"/>
            <w:bottom w:w="0" w:type="dxa"/>
            <w:right w:w="108" w:type="dxa"/>
          </w:tblCellMar>
        </w:tblPrEx>
        <w:trPr>
          <w:trHeight w:val="285" w:hRule="atLeast"/>
        </w:trPr>
        <w:tc>
          <w:tcPr>
            <w:tcW w:w="791"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37" w:type="dxa"/>
            <w:vMerge w:val="continue"/>
            <w:tcBorders>
              <w:top w:val="nil"/>
              <w:left w:val="single" w:color="000000" w:sz="4" w:space="0"/>
              <w:bottom w:val="single" w:color="000000" w:sz="4" w:space="0"/>
              <w:right w:val="single" w:color="000000" w:sz="4" w:space="0"/>
            </w:tcBorders>
            <w:vAlign w:val="center"/>
          </w:tcPr>
          <w:p>
            <w:pPr>
              <w:widowControl/>
              <w:adjustRightInd w:val="0"/>
              <w:snapToGrid w:val="0"/>
              <w:spacing w:line="300" w:lineRule="exact"/>
              <w:jc w:val="center"/>
              <w:rPr>
                <w:rFonts w:ascii="宋体" w:hAnsi="宋体" w:cs="宋体"/>
                <w:color w:val="000000"/>
                <w:kern w:val="0"/>
                <w:sz w:val="22"/>
                <w:szCs w:val="22"/>
                <w:lang w:bidi="ar"/>
              </w:rPr>
            </w:pP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3g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2500</w:t>
            </w:r>
          </w:p>
        </w:tc>
      </w:tr>
      <w:tr>
        <w:tblPrEx>
          <w:tblCellMar>
            <w:top w:w="0" w:type="dxa"/>
            <w:left w:w="108" w:type="dxa"/>
            <w:bottom w:w="0" w:type="dxa"/>
            <w:right w:w="108" w:type="dxa"/>
          </w:tblCellMar>
        </w:tblPrEx>
        <w:trPr>
          <w:trHeight w:val="570" w:hRule="atLeast"/>
        </w:trPr>
        <w:tc>
          <w:tcPr>
            <w:tcW w:w="791" w:type="dxa"/>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19</w:t>
            </w:r>
          </w:p>
        </w:tc>
        <w:tc>
          <w:tcPr>
            <w:tcW w:w="3137" w:type="dxa"/>
            <w:tcBorders>
              <w:top w:val="nil"/>
              <w:left w:val="nil"/>
              <w:bottom w:val="single" w:color="000000" w:sz="4" w:space="0"/>
              <w:right w:val="single" w:color="000000" w:sz="4" w:space="0"/>
            </w:tcBorders>
            <w:shd w:val="clear" w:color="auto" w:fill="auto"/>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骨化三醇口服常释剂型</w:t>
            </w:r>
          </w:p>
        </w:tc>
        <w:tc>
          <w:tcPr>
            <w:tcW w:w="3187" w:type="dxa"/>
            <w:tcBorders>
              <w:top w:val="nil"/>
              <w:left w:val="nil"/>
              <w:bottom w:val="single" w:color="000000" w:sz="4" w:space="0"/>
              <w:right w:val="single" w:color="000000" w:sz="4" w:space="0"/>
            </w:tcBorders>
            <w:shd w:val="clear" w:color="000000" w:fill="FFFFFF"/>
            <w:noWrap/>
            <w:vAlign w:val="bottom"/>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0.5μg</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21088</w:t>
            </w:r>
          </w:p>
        </w:tc>
      </w:tr>
      <w:tr>
        <w:tblPrEx>
          <w:tblCellMar>
            <w:top w:w="0" w:type="dxa"/>
            <w:left w:w="108" w:type="dxa"/>
            <w:bottom w:w="0" w:type="dxa"/>
            <w:right w:w="108" w:type="dxa"/>
          </w:tblCellMar>
        </w:tblPrEx>
        <w:trPr>
          <w:trHeight w:val="570" w:hRule="atLeast"/>
        </w:trPr>
        <w:tc>
          <w:tcPr>
            <w:tcW w:w="791" w:type="dxa"/>
            <w:tcBorders>
              <w:top w:val="nil"/>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20</w:t>
            </w:r>
          </w:p>
        </w:tc>
        <w:tc>
          <w:tcPr>
            <w:tcW w:w="3137" w:type="dxa"/>
            <w:tcBorders>
              <w:top w:val="nil"/>
              <w:left w:val="nil"/>
              <w:bottom w:val="single" w:color="000000" w:sz="4" w:space="0"/>
              <w:right w:val="single" w:color="000000" w:sz="4" w:space="0"/>
            </w:tcBorders>
            <w:shd w:val="clear" w:color="auto" w:fill="auto"/>
            <w:vAlign w:val="center"/>
          </w:tcPr>
          <w:p>
            <w:pPr>
              <w:widowControl/>
              <w:adjustRightInd w:val="0"/>
              <w:snapToGrid w:val="0"/>
              <w:spacing w:line="300" w:lineRule="exact"/>
              <w:jc w:val="left"/>
              <w:rPr>
                <w:rFonts w:ascii="宋体" w:hAnsi="宋体" w:cs="宋体"/>
                <w:color w:val="000000"/>
                <w:kern w:val="0"/>
                <w:sz w:val="22"/>
                <w:szCs w:val="22"/>
                <w:lang w:bidi="ar"/>
              </w:rPr>
            </w:pPr>
            <w:r>
              <w:rPr>
                <w:rFonts w:hint="eastAsia" w:ascii="宋体" w:hAnsi="宋体" w:cs="宋体"/>
                <w:color w:val="000000"/>
                <w:kern w:val="0"/>
                <w:sz w:val="22"/>
                <w:szCs w:val="22"/>
                <w:lang w:bidi="ar"/>
              </w:rPr>
              <w:t>阿莫西林克拉维酸注射液</w:t>
            </w:r>
          </w:p>
        </w:tc>
        <w:tc>
          <w:tcPr>
            <w:tcW w:w="3187"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0.3g</w:t>
            </w:r>
            <w:r>
              <w:rPr>
                <w:rFonts w:hint="eastAsia" w:ascii="宋体" w:hAnsi="宋体" w:cs="宋体"/>
                <w:color w:val="000000"/>
                <w:kern w:val="0"/>
                <w:sz w:val="22"/>
                <w:szCs w:val="22"/>
                <w:lang w:bidi="ar"/>
              </w:rPr>
              <w:t>（</w:t>
            </w:r>
            <w:r>
              <w:rPr>
                <w:rFonts w:ascii="宋体" w:hAnsi="宋体" w:cs="宋体"/>
                <w:color w:val="000000"/>
                <w:kern w:val="0"/>
                <w:sz w:val="22"/>
                <w:szCs w:val="22"/>
                <w:lang w:bidi="ar"/>
              </w:rPr>
              <w:t>5:1</w:t>
            </w:r>
            <w:r>
              <w:rPr>
                <w:rFonts w:hint="eastAsia" w:ascii="宋体" w:hAnsi="宋体" w:cs="宋体"/>
                <w:color w:val="000000"/>
                <w:kern w:val="0"/>
                <w:sz w:val="22"/>
                <w:szCs w:val="22"/>
                <w:lang w:bidi="ar"/>
              </w:rPr>
              <w:t>）</w:t>
            </w:r>
          </w:p>
        </w:tc>
        <w:tc>
          <w:tcPr>
            <w:tcW w:w="1952" w:type="dxa"/>
            <w:tcBorders>
              <w:top w:val="nil"/>
              <w:left w:val="nil"/>
              <w:bottom w:val="single" w:color="000000" w:sz="4" w:space="0"/>
              <w:right w:val="single" w:color="000000" w:sz="4" w:space="0"/>
            </w:tcBorders>
            <w:shd w:val="clear" w:color="000000" w:fill="FFFFFF"/>
            <w:noWrap/>
            <w:vAlign w:val="center"/>
          </w:tcPr>
          <w:p>
            <w:pPr>
              <w:widowControl/>
              <w:adjustRightInd w:val="0"/>
              <w:snapToGrid w:val="0"/>
              <w:spacing w:line="300" w:lineRule="exact"/>
              <w:jc w:val="center"/>
              <w:rPr>
                <w:rFonts w:ascii="宋体" w:hAnsi="宋体" w:cs="宋体"/>
                <w:color w:val="000000"/>
                <w:kern w:val="0"/>
                <w:sz w:val="22"/>
                <w:szCs w:val="22"/>
                <w:lang w:bidi="ar"/>
              </w:rPr>
            </w:pPr>
            <w:r>
              <w:rPr>
                <w:rFonts w:ascii="宋体" w:hAnsi="宋体" w:cs="宋体"/>
                <w:color w:val="000000"/>
                <w:kern w:val="0"/>
                <w:sz w:val="22"/>
                <w:szCs w:val="22"/>
                <w:lang w:bidi="ar"/>
              </w:rPr>
              <w:t>652891</w:t>
            </w:r>
          </w:p>
        </w:tc>
      </w:tr>
    </w:tbl>
    <w:p>
      <w:pPr>
        <w:adjustRightInd w:val="0"/>
        <w:snapToGrid w:val="0"/>
        <w:spacing w:line="360" w:lineRule="auto"/>
        <w:rPr>
          <w:rFonts w:ascii="黑体" w:hAnsi="黑体" w:eastAsia="黑体"/>
          <w:b/>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四、申报资格</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符合以下申报要求的企业须在规定时间提交申报材料，未提交的，将影响该企业所涉药品在云南省内的集中采购活动。</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（一）申报企业资格</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药品上市许可持有人、国内药品生产企业、药品上市许可持有人（为境外企业）指定的进口药品全国总代理。</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（二）申报品种资格</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属于残缺规格和未中选规格采购目录范围并获得国内有效注册批件的上市药品，且满足以下要求之一：</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w:t>
      </w:r>
      <w:r>
        <w:rPr>
          <w:rFonts w:ascii="方正仿宋简体" w:hAnsi="宋体" w:eastAsia="方正仿宋简体"/>
          <w:color w:val="000000" w:themeColor="text1"/>
          <w:sz w:val="32"/>
          <w:szCs w:val="32"/>
          <w14:textFill>
            <w14:solidFill>
              <w14:schemeClr w14:val="tx1"/>
            </w14:solidFill>
          </w14:textFill>
        </w:rPr>
        <w:t xml:space="preserve"> </w:t>
      </w:r>
      <w:r>
        <w:rPr>
          <w:rFonts w:hint="eastAsia" w:ascii="方正仿宋简体" w:hAnsi="宋体" w:eastAsia="方正仿宋简体"/>
          <w:color w:val="000000" w:themeColor="text1"/>
          <w:sz w:val="32"/>
          <w:szCs w:val="32"/>
          <w14:textFill>
            <w14:solidFill>
              <w14:schemeClr w14:val="tx1"/>
            </w14:solidFill>
          </w14:textFill>
        </w:rPr>
        <w:t>原研药及国家药品监督管理局发布的仿制药质量和疗效一致性评价参比制剂；</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2．通过国家药品监督管理局仿制药和疗效一致性评价的仿制药品；</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根据《国家食品药品监督管理总局关于发布化学药品注册分类改革工作方案的公告》(2016年第51号）或《国家药监局关于发布化学药品注册分类及申报资料要求的通告》(2020年第44号），按化学药品注册分类批准，并证明质量和疗效与参比制剂一致的仿制药品；</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4．纳入《中国上市药品目录集》的药品。</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五、申报材料递交截止时间和地点</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202</w:t>
      </w:r>
      <w:r>
        <w:rPr>
          <w:rFonts w:ascii="方正仿宋简体" w:hAnsi="宋体" w:eastAsia="方正仿宋简体"/>
          <w:color w:val="000000" w:themeColor="text1"/>
          <w:sz w:val="32"/>
          <w:szCs w:val="32"/>
          <w14:textFill>
            <w14:solidFill>
              <w14:schemeClr w14:val="tx1"/>
            </w14:solidFill>
          </w14:textFill>
        </w:rPr>
        <w:t>3</w:t>
      </w:r>
      <w:r>
        <w:rPr>
          <w:rFonts w:hint="eastAsia" w:ascii="方正仿宋简体" w:hAnsi="宋体" w:eastAsia="方正仿宋简体"/>
          <w:color w:val="000000" w:themeColor="text1"/>
          <w:sz w:val="32"/>
          <w:szCs w:val="32"/>
          <w14:textFill>
            <w14:solidFill>
              <w14:schemeClr w14:val="tx1"/>
            </w14:solidFill>
          </w14:textFill>
        </w:rPr>
        <w:t>年</w:t>
      </w:r>
      <w:r>
        <w:rPr>
          <w:rFonts w:ascii="方正仿宋简体" w:hAnsi="宋体" w:eastAsia="方正仿宋简体"/>
          <w:color w:val="000000" w:themeColor="text1"/>
          <w:sz w:val="32"/>
          <w:szCs w:val="32"/>
          <w14:textFill>
            <w14:solidFill>
              <w14:schemeClr w14:val="tx1"/>
            </w14:solidFill>
          </w14:textFill>
        </w:rPr>
        <w:t>6</w:t>
      </w:r>
      <w:r>
        <w:rPr>
          <w:rFonts w:hint="eastAsia" w:ascii="方正仿宋简体" w:hAnsi="宋体" w:eastAsia="方正仿宋简体"/>
          <w:color w:val="000000" w:themeColor="text1"/>
          <w:sz w:val="32"/>
          <w:szCs w:val="32"/>
          <w14:textFill>
            <w14:solidFill>
              <w14:schemeClr w14:val="tx1"/>
            </w14:solidFill>
          </w14:textFill>
        </w:rPr>
        <w:t>月2</w:t>
      </w:r>
      <w:r>
        <w:rPr>
          <w:rFonts w:ascii="方正仿宋简体" w:hAnsi="宋体" w:eastAsia="方正仿宋简体"/>
          <w:color w:val="000000" w:themeColor="text1"/>
          <w:sz w:val="32"/>
          <w:szCs w:val="32"/>
          <w14:textFill>
            <w14:solidFill>
              <w14:schemeClr w14:val="tx1"/>
            </w14:solidFill>
          </w14:textFill>
        </w:rPr>
        <w:t>8</w:t>
      </w:r>
      <w:r>
        <w:rPr>
          <w:rFonts w:hint="eastAsia" w:ascii="方正仿宋简体" w:hAnsi="宋体" w:eastAsia="方正仿宋简体"/>
          <w:color w:val="000000" w:themeColor="text1"/>
          <w:sz w:val="32"/>
          <w:szCs w:val="32"/>
          <w14:textFill>
            <w14:solidFill>
              <w14:schemeClr w14:val="tx1"/>
            </w14:solidFill>
          </w14:textFill>
        </w:rPr>
        <w:t>日（星期三）下午</w:t>
      </w:r>
      <w:r>
        <w:rPr>
          <w:rFonts w:ascii="方正仿宋简体" w:hAnsi="宋体" w:eastAsia="方正仿宋简体"/>
          <w:color w:val="000000" w:themeColor="text1"/>
          <w:sz w:val="32"/>
          <w:szCs w:val="32"/>
          <w14:textFill>
            <w14:solidFill>
              <w14:schemeClr w14:val="tx1"/>
            </w14:solidFill>
          </w14:textFill>
        </w:rPr>
        <w:t>14:00</w:t>
      </w:r>
      <w:r>
        <w:rPr>
          <w:rFonts w:hint="eastAsia" w:ascii="方正仿宋简体" w:hAnsi="宋体" w:eastAsia="方正仿宋简体"/>
          <w:color w:val="000000" w:themeColor="text1"/>
          <w:sz w:val="32"/>
          <w:szCs w:val="32"/>
          <w14:textFill>
            <w14:solidFill>
              <w14:schemeClr w14:val="tx1"/>
            </w14:solidFill>
          </w14:textFill>
        </w:rPr>
        <w:t>点开始接收申报材料；申报企业的被授权人持法定代表人授权书加盖鲜章（原件）和本人居民身份证（原件）递交申报材料。不同投标企业不得委托同一个人作为投标被授权人办理投标事宜，同一投标企业原则上只能由一个被授权人参加投标。</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（一）递交截止时间：202</w:t>
      </w:r>
      <w:r>
        <w:rPr>
          <w:rFonts w:ascii="方正仿宋简体" w:hAnsi="宋体" w:eastAsia="方正仿宋简体"/>
          <w:color w:val="000000" w:themeColor="text1"/>
          <w:sz w:val="32"/>
          <w:szCs w:val="32"/>
          <w14:textFill>
            <w14:solidFill>
              <w14:schemeClr w14:val="tx1"/>
            </w14:solidFill>
          </w14:textFill>
        </w:rPr>
        <w:t>3</w:t>
      </w:r>
      <w:r>
        <w:rPr>
          <w:rFonts w:hint="eastAsia" w:ascii="方正仿宋简体" w:hAnsi="宋体" w:eastAsia="方正仿宋简体"/>
          <w:color w:val="000000" w:themeColor="text1"/>
          <w:sz w:val="32"/>
          <w:szCs w:val="32"/>
          <w14:textFill>
            <w14:solidFill>
              <w14:schemeClr w14:val="tx1"/>
            </w14:solidFill>
          </w14:textFill>
        </w:rPr>
        <w:t>年</w:t>
      </w:r>
      <w:r>
        <w:rPr>
          <w:rFonts w:ascii="方正仿宋简体" w:hAnsi="宋体" w:eastAsia="方正仿宋简体"/>
          <w:color w:val="000000" w:themeColor="text1"/>
          <w:sz w:val="32"/>
          <w:szCs w:val="32"/>
          <w14:textFill>
            <w14:solidFill>
              <w14:schemeClr w14:val="tx1"/>
            </w14:solidFill>
          </w14:textFill>
        </w:rPr>
        <w:t>6</w:t>
      </w:r>
      <w:r>
        <w:rPr>
          <w:rFonts w:hint="eastAsia" w:ascii="方正仿宋简体" w:hAnsi="宋体" w:eastAsia="方正仿宋简体"/>
          <w:color w:val="000000" w:themeColor="text1"/>
          <w:sz w:val="32"/>
          <w:szCs w:val="32"/>
          <w14:textFill>
            <w14:solidFill>
              <w14:schemeClr w14:val="tx1"/>
            </w14:solidFill>
          </w14:textFill>
        </w:rPr>
        <w:t>月</w:t>
      </w:r>
      <w:r>
        <w:rPr>
          <w:rFonts w:ascii="方正仿宋简体" w:hAnsi="宋体" w:eastAsia="方正仿宋简体"/>
          <w:color w:val="000000" w:themeColor="text1"/>
          <w:sz w:val="32"/>
          <w:szCs w:val="32"/>
          <w14:textFill>
            <w14:solidFill>
              <w14:schemeClr w14:val="tx1"/>
            </w14:solidFill>
          </w14:textFill>
        </w:rPr>
        <w:t>28</w:t>
      </w:r>
      <w:r>
        <w:rPr>
          <w:rFonts w:hint="eastAsia" w:ascii="方正仿宋简体" w:hAnsi="宋体" w:eastAsia="方正仿宋简体"/>
          <w:color w:val="000000" w:themeColor="text1"/>
          <w:sz w:val="32"/>
          <w:szCs w:val="32"/>
          <w14:textFill>
            <w14:solidFill>
              <w14:schemeClr w14:val="tx1"/>
            </w14:solidFill>
          </w14:textFill>
        </w:rPr>
        <w:t>日（星期三）下午</w:t>
      </w:r>
      <w:r>
        <w:rPr>
          <w:rFonts w:ascii="方正仿宋简体" w:hAnsi="宋体" w:eastAsia="方正仿宋简体"/>
          <w:color w:val="000000" w:themeColor="text1"/>
          <w:sz w:val="32"/>
          <w:szCs w:val="32"/>
          <w14:textFill>
            <w14:solidFill>
              <w14:schemeClr w14:val="tx1"/>
            </w14:solidFill>
          </w14:textFill>
        </w:rPr>
        <w:t>15</w:t>
      </w:r>
      <w:r>
        <w:rPr>
          <w:rFonts w:hint="eastAsia" w:ascii="方正仿宋简体" w:hAnsi="宋体" w:eastAsia="方正仿宋简体"/>
          <w:color w:val="000000" w:themeColor="text1"/>
          <w:sz w:val="32"/>
          <w:szCs w:val="32"/>
          <w14:textFill>
            <w14:solidFill>
              <w14:schemeClr w14:val="tx1"/>
            </w14:solidFill>
          </w14:textFill>
        </w:rPr>
        <w:t>:</w:t>
      </w:r>
      <w:r>
        <w:rPr>
          <w:rFonts w:ascii="方正仿宋简体" w:hAnsi="宋体" w:eastAsia="方正仿宋简体"/>
          <w:color w:val="000000" w:themeColor="text1"/>
          <w:sz w:val="32"/>
          <w:szCs w:val="32"/>
          <w14:textFill>
            <w14:solidFill>
              <w14:schemeClr w14:val="tx1"/>
            </w14:solidFill>
          </w14:textFill>
        </w:rPr>
        <w:t>00</w:t>
      </w:r>
      <w:r>
        <w:rPr>
          <w:rFonts w:hint="eastAsia" w:ascii="方正仿宋简体" w:hAnsi="宋体" w:eastAsia="方正仿宋简体"/>
          <w:color w:val="000000" w:themeColor="text1"/>
          <w:sz w:val="32"/>
          <w:szCs w:val="32"/>
          <w14:textFill>
            <w14:solidFill>
              <w14:schemeClr w14:val="tx1"/>
            </w14:solidFill>
          </w14:textFill>
        </w:rPr>
        <w:t>；</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（二）地点：昆明市高新区科发路269号交易大厦2楼开标厅</w:t>
      </w:r>
      <w:r>
        <w:rPr>
          <w:rFonts w:ascii="方正仿宋简体" w:hAnsi="宋体" w:eastAsia="方正仿宋简体"/>
          <w:color w:val="000000" w:themeColor="text1"/>
          <w:sz w:val="32"/>
          <w:szCs w:val="32"/>
          <w14:textFill>
            <w14:solidFill>
              <w14:schemeClr w14:val="tx1"/>
            </w14:solidFill>
          </w14:textFill>
        </w:rPr>
        <w:t>2</w:t>
      </w:r>
      <w:r>
        <w:rPr>
          <w:rFonts w:hint="eastAsia" w:ascii="方正仿宋简体" w:hAnsi="宋体" w:eastAsia="方正仿宋简体"/>
          <w:color w:val="000000" w:themeColor="text1"/>
          <w:sz w:val="32"/>
          <w:szCs w:val="32"/>
          <w14:textFill>
            <w14:solidFill>
              <w14:schemeClr w14:val="tx1"/>
            </w14:solidFill>
          </w14:textFill>
        </w:rPr>
        <w:t>。</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六、开标时间及地点</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（一）开标时间同投标截止时间；</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（二）地点：昆明高新区科发路269号交易大厦2楼开标厅</w:t>
      </w:r>
      <w:r>
        <w:rPr>
          <w:rFonts w:ascii="方正仿宋简体" w:hAnsi="宋体" w:eastAsia="方正仿宋简体"/>
          <w:color w:val="000000" w:themeColor="text1"/>
          <w:sz w:val="32"/>
          <w:szCs w:val="32"/>
          <w14:textFill>
            <w14:solidFill>
              <w14:schemeClr w14:val="tx1"/>
            </w14:solidFill>
          </w14:textFill>
        </w:rPr>
        <w:t>2</w:t>
      </w:r>
      <w:r>
        <w:rPr>
          <w:rFonts w:hint="eastAsia" w:ascii="方正仿宋简体" w:hAnsi="宋体" w:eastAsia="方正仿宋简体"/>
          <w:color w:val="000000" w:themeColor="text1"/>
          <w:sz w:val="32"/>
          <w:szCs w:val="32"/>
          <w14:textFill>
            <w14:solidFill>
              <w14:schemeClr w14:val="tx1"/>
            </w14:solidFill>
          </w14:textFill>
        </w:rPr>
        <w:t>。</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注：逾期送达的或者未送达指定地点的申报材料，不予受理。</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七、参与本次集中采购工作的具体要求及格式，详见《采购文件》各章节。</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八、联系人、联系方式及地址</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联系人：胡老师、陈老师、王老师</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联系电话：0871-</w:t>
      </w:r>
      <w:r>
        <w:rPr>
          <w:rFonts w:ascii="方正仿宋简体" w:hAnsi="宋体" w:eastAsia="方正仿宋简体"/>
          <w:color w:val="000000" w:themeColor="text1"/>
          <w:sz w:val="32"/>
          <w:szCs w:val="32"/>
          <w14:textFill>
            <w14:solidFill>
              <w14:schemeClr w14:val="tx1"/>
            </w14:solidFill>
          </w14:textFill>
        </w:rPr>
        <w:t>68313372</w:t>
      </w:r>
      <w:r>
        <w:rPr>
          <w:rFonts w:hint="eastAsia" w:ascii="方正仿宋简体" w:hAnsi="宋体" w:eastAsia="方正仿宋简体"/>
          <w:color w:val="000000" w:themeColor="text1"/>
          <w:sz w:val="32"/>
          <w:szCs w:val="32"/>
          <w14:textFill>
            <w14:solidFill>
              <w14:schemeClr w14:val="tx1"/>
            </w14:solidFill>
          </w14:textFill>
        </w:rPr>
        <w:t>、65357873</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联系地址：昆明市高新区科发路269号交易大厦6楼云南省政府采购和出让中心601、609室</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网址：</w:t>
      </w:r>
      <w:r>
        <w:rPr>
          <w:rFonts w:ascii="方正仿宋简体" w:hAnsi="宋体" w:eastAsia="方正仿宋简体"/>
          <w:color w:val="000000" w:themeColor="text1"/>
          <w:sz w:val="32"/>
          <w:szCs w:val="32"/>
          <w14:textFill>
            <w14:solidFill>
              <w14:schemeClr w14:val="tx1"/>
            </w14:solidFill>
          </w14:textFill>
        </w:rPr>
        <w:t>http://www.ynyyzb.com.c</w:t>
      </w:r>
      <w:r>
        <w:rPr>
          <w:rFonts w:hint="eastAsia" w:ascii="方正仿宋简体" w:hAnsi="宋体" w:eastAsia="方正仿宋简体"/>
          <w:color w:val="000000" w:themeColor="text1"/>
          <w:sz w:val="32"/>
          <w:szCs w:val="32"/>
          <w14:textFill>
            <w14:solidFill>
              <w14:schemeClr w14:val="tx1"/>
            </w14:solidFill>
          </w14:textFill>
        </w:rPr>
        <w:t>n</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附件：云南省第八批国家组织药品集中采购部分残缺和未中选规格带量采购文件</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附件1：云南省第八批国家组织药品集中采购部分残缺和未中选规格带量采购文件资质证明材料填报要求（申报资料编制要求、装订方法和递交说明）</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附件2：报价信息表</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附件3：法定代表人授权书</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附件4：服务承诺函</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附件5：医药企业价格和营销行为信用承诺书</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附件6：申报材料封面样张</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附件7：申报药品包装表</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jc w:val="right"/>
        <w:rPr>
          <w:rFonts w:ascii="方正仿宋简体" w:hAnsi="宋体" w:eastAsia="方正仿宋简体"/>
          <w:color w:val="000000" w:themeColor="text1"/>
          <w:sz w:val="32"/>
          <w:szCs w:val="32"/>
          <w14:textFill>
            <w14:solidFill>
              <w14:schemeClr w14:val="tx1"/>
            </w14:solidFill>
          </w14:textFill>
        </w:rPr>
      </w:pPr>
      <w:r>
        <w:rPr>
          <w:rFonts w:ascii="方正仿宋简体" w:hAnsi="宋体" w:eastAsia="方正仿宋简体"/>
          <w:color w:val="000000" w:themeColor="text1"/>
          <w:sz w:val="32"/>
          <w:szCs w:val="32"/>
          <w14:textFill>
            <w14:solidFill>
              <w14:schemeClr w14:val="tx1"/>
            </w14:solidFill>
          </w14:textFill>
        </w:rPr>
        <w:t>2023年6月</w:t>
      </w:r>
      <w:r>
        <w:rPr>
          <w:rFonts w:hint="eastAsia" w:ascii="方正仿宋简体" w:hAnsi="宋体" w:eastAsia="方正仿宋简体"/>
          <w:color w:val="000000" w:themeColor="text1"/>
          <w:sz w:val="32"/>
          <w:szCs w:val="32"/>
          <w14:textFill>
            <w14:solidFill>
              <w14:schemeClr w14:val="tx1"/>
            </w14:solidFill>
          </w14:textFill>
        </w:rPr>
        <w:t>1</w:t>
      </w:r>
      <w:r>
        <w:rPr>
          <w:rFonts w:ascii="方正仿宋简体" w:hAnsi="宋体" w:eastAsia="方正仿宋简体"/>
          <w:color w:val="000000" w:themeColor="text1"/>
          <w:sz w:val="32"/>
          <w:szCs w:val="32"/>
          <w14:textFill>
            <w14:solidFill>
              <w14:schemeClr w14:val="tx1"/>
            </w14:solidFill>
          </w14:textFill>
        </w:rPr>
        <w:t>9日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jc w:val="center"/>
        <w:rPr>
          <w:rFonts w:ascii="方正小标宋简体" w:hAnsi="宋体" w:eastAsia="方正小标宋简体"/>
          <w:b/>
          <w:color w:val="000000" w:themeColor="text1"/>
          <w:sz w:val="44"/>
          <w:szCs w:val="36"/>
          <w14:textFill>
            <w14:solidFill>
              <w14:schemeClr w14:val="tx1"/>
            </w14:solidFill>
          </w14:textFill>
        </w:rPr>
      </w:pPr>
      <w:r>
        <w:rPr>
          <w:rFonts w:hint="eastAsia" w:ascii="方正小标宋简体" w:hAnsi="宋体" w:eastAsia="方正小标宋简体"/>
          <w:b/>
          <w:color w:val="000000" w:themeColor="text1"/>
          <w:sz w:val="44"/>
          <w:szCs w:val="36"/>
          <w14:textFill>
            <w14:solidFill>
              <w14:schemeClr w14:val="tx1"/>
            </w14:solidFill>
          </w14:textFill>
        </w:rPr>
        <w:t>第二章 申报须知</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一、合格条件</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1.1药品上市许可持有人、国内药品生产企业、药品上市许可持有人（为境外企业）指定的进口药品全国总代理直接投标。如国内药品批件标明有药品上市许可持有人，应由药品上市许可持有人作为投标主体参与申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同一企业的所有申报药品只允许一个被授权人参与申报，如出现多次重复申报或多个被授权人重复申报的，该品种的申报资格无效。</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1.2申报企业参加药品带量采购活动应当具备以下条件：</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（1）具有履行协议必须具备的能力；</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（2）参加本次药品带量采购活动前两年内，在药品生产活动中无严重违法记录；</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在《国家医疗保障局关于建立医药价格和招采信用评价制度的指导意见》（医保发〔2020〕34号）、《国家医保局医药价格和招标采购指导中心关于印发医药价格和招采信用评价的操作规范（2020版）的通知》（医保价采中心函〔2020〕24号）和《国家医保局医药价格和招标采购指导中心关于印发医药价格和招采信用评级的裁量基准（2020版）的通知》（医保价采中心函〔2020〕25号）印发后，申报企业在云南省的药品生产经营活动中，无上述文件所指的严重、特别严重的失信行为；</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（4）对药品的质量负责，一旦中选，作为供应保障的第一责任人，及时、足量按要求组织生产，并向配送企业发送药品，满足医疗机构临床用药需求。</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1.3申报企业应按照采购文件的要求提交申报材料，申报材料应对采购文件提出的要求和条件做出响应。</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二、申报材料编制</w:t>
      </w:r>
    </w:p>
    <w:p>
      <w:pPr>
        <w:adjustRightInd w:val="0"/>
        <w:snapToGrid w:val="0"/>
        <w:spacing w:line="600" w:lineRule="exact"/>
        <w:ind w:firstLine="640"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2.编制要求</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申报企业应仔细阅读采购文件中的所有内容，按采购文件的要求提供申报材料，并保证所提供的全部材料真实有效。申报材料中涉及到的证书、证明材料等，必须在申报信息公开当日仍在有效期内。若因申报企业没有按照采购文件的要求提交完整材料，或因申报材料没有对采购文件做出响应、申报材料内容不实等因素影响中选结果的，由申报企业负责。因复印模糊，导致资料无法辨认的，视为未提供该资料。</w:t>
      </w:r>
    </w:p>
    <w:p>
      <w:pPr>
        <w:adjustRightInd w:val="0"/>
        <w:snapToGrid w:val="0"/>
        <w:spacing w:line="600" w:lineRule="exact"/>
        <w:ind w:firstLine="640"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3.申报语言、计量单位和药品名称、药品规格表示</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w:t>
      </w:r>
      <w:r>
        <w:rPr>
          <w:rFonts w:ascii="方正仿宋简体" w:hAnsi="宋体" w:eastAsia="方正仿宋简体"/>
          <w:color w:val="000000" w:themeColor="text1"/>
          <w:sz w:val="32"/>
          <w:szCs w:val="32"/>
          <w14:textFill>
            <w14:solidFill>
              <w14:schemeClr w14:val="tx1"/>
            </w14:solidFill>
          </w14:textFill>
        </w:rPr>
        <w:t>1</w:t>
      </w:r>
      <w:r>
        <w:rPr>
          <w:rFonts w:hint="eastAsia" w:ascii="方正仿宋简体" w:hAnsi="宋体" w:eastAsia="方正仿宋简体"/>
          <w:color w:val="000000" w:themeColor="text1"/>
          <w:sz w:val="32"/>
          <w:szCs w:val="32"/>
          <w14:textFill>
            <w14:solidFill>
              <w14:schemeClr w14:val="tx1"/>
            </w14:solidFill>
          </w14:textFill>
        </w:rPr>
        <w:t>申报企业与云南省政府采购出让中心就申报递交的材料、交换的文件和来往信件，一律以中文书写。</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3.2除申报材料中对技术规格另有规定外，应使用中华人民共和国法定计量单位和有关部门规定的药品名称、药品规格表示方法。</w:t>
      </w:r>
    </w:p>
    <w:p>
      <w:pPr>
        <w:adjustRightInd w:val="0"/>
        <w:snapToGrid w:val="0"/>
        <w:spacing w:line="600" w:lineRule="exact"/>
        <w:ind w:firstLine="640"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4.纸质申报材料的构成和装订顺序</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4.1申报材料构成如下（申报要求详见附件1，每页均须加盖企业公章或骑缝章）：</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（1）报价信息表（附件2，申报多个品种仅须制作一份），装订于申报资料第一页；</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（2）法定代表人授权书（附件3）；</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（3）服务承诺函（附件4）；</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（4）医药企业价格和营销行为信用承诺书（附件5）；</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（5）药品符合“申报品种资格”的相关证明材料（申报要求详情附件1）；</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（6）企业资质的相关证明材料（申报多个品种仅须制作一份）（申报要求详情附件1）；</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（7）申报药品资质的相关证明资料（申报要求详情附件1）；</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（8）原料药自产说明及证明材料（如有）。</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（9）申报药品包装表（格式见附件7，申报多个品种仅须制作一份）</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以上资料仅需提供一套。</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4.2申报材料装订</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申报企业应将申报材料装订成册，</w:t>
      </w:r>
      <w:r>
        <w:rPr>
          <w:rFonts w:hint="eastAsia" w:ascii="方正仿宋简体" w:hAnsi="宋体" w:eastAsia="方正仿宋简体"/>
          <w:color w:val="000000" w:themeColor="text1"/>
          <w:sz w:val="32"/>
          <w:szCs w:val="32"/>
          <w:u w:val="single"/>
          <w14:textFill>
            <w14:solidFill>
              <w14:schemeClr w14:val="tx1"/>
            </w14:solidFill>
          </w14:textFill>
        </w:rPr>
        <w:t>列出“申报材料”目录。</w:t>
      </w:r>
      <w:r>
        <w:rPr>
          <w:rFonts w:hint="eastAsia" w:ascii="方正仿宋简体" w:hAnsi="宋体" w:eastAsia="方正仿宋简体"/>
          <w:color w:val="000000" w:themeColor="text1"/>
          <w:sz w:val="32"/>
          <w:szCs w:val="32"/>
          <w14:textFill>
            <w14:solidFill>
              <w14:schemeClr w14:val="tx1"/>
            </w14:solidFill>
          </w14:textFill>
        </w:rPr>
        <w:t>按采购文件中提供的申报材料格式要求用A4纸依顺序装订（申报要求详见附件1）。</w:t>
      </w:r>
    </w:p>
    <w:p>
      <w:pPr>
        <w:adjustRightInd w:val="0"/>
        <w:snapToGrid w:val="0"/>
        <w:spacing w:line="600" w:lineRule="exact"/>
        <w:ind w:firstLine="640"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5申报报价</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5.1报价要求：</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（一）国家组织药品集中采购中选药品未选择供应云南区域的品种，以不高于国家中选价格申报。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（二）符合药品申报资格，无国家组织药品集中采购中选价格的，报价不高于云南省中选药品价格（不同规格以中选药品规格差比价折算）。</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（三）企业以最小制剂单位申报价格，报价不高于我省平台挂网价格。</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（四）</w:t>
      </w:r>
      <w:r>
        <w:rPr>
          <w:rFonts w:ascii="方正仿宋简体" w:hAnsi="宋体" w:eastAsia="方正仿宋简体"/>
          <w:color w:val="000000" w:themeColor="text1"/>
          <w:sz w:val="32"/>
          <w:szCs w:val="32"/>
          <w14:textFill>
            <w14:solidFill>
              <w14:schemeClr w14:val="tx1"/>
            </w14:solidFill>
          </w14:textFill>
        </w:rPr>
        <w:t>那屈肝素（那曲肝素）注射剂同品种中，同规格预</w:t>
      </w:r>
      <w:r>
        <w:rPr>
          <w:rFonts w:hint="eastAsia" w:ascii="方正仿宋简体" w:hAnsi="宋体" w:eastAsia="方正仿宋简体"/>
          <w:color w:val="000000" w:themeColor="text1"/>
          <w:sz w:val="32"/>
          <w:szCs w:val="32"/>
          <w14:textFill>
            <w14:solidFill>
              <w14:schemeClr w14:val="tx1"/>
            </w14:solidFill>
          </w14:textFill>
        </w:rPr>
        <w:t>灌封</w:t>
      </w:r>
      <w:r>
        <w:rPr>
          <w:rFonts w:ascii="方正仿宋简体" w:hAnsi="宋体" w:eastAsia="方正仿宋简体"/>
          <w:color w:val="000000" w:themeColor="text1"/>
          <w:sz w:val="32"/>
          <w:szCs w:val="32"/>
          <w14:textFill>
            <w14:solidFill>
              <w14:schemeClr w14:val="tx1"/>
            </w14:solidFill>
          </w14:textFill>
        </w:rPr>
        <w:t>包装与安瓿瓶（西林瓶）包装的差额以 2.5 元计，同规格带</w:t>
      </w:r>
      <w:bookmarkStart w:id="0" w:name="_Hlk138060229"/>
      <w:r>
        <w:rPr>
          <w:rFonts w:ascii="方正仿宋简体" w:hAnsi="宋体" w:eastAsia="方正仿宋简体"/>
          <w:color w:val="000000" w:themeColor="text1"/>
          <w:sz w:val="32"/>
          <w:szCs w:val="32"/>
          <w14:textFill>
            <w14:solidFill>
              <w14:schemeClr w14:val="tx1"/>
            </w14:solidFill>
          </w14:textFill>
        </w:rPr>
        <w:t>安全装置预灌封</w:t>
      </w:r>
      <w:bookmarkEnd w:id="0"/>
      <w:r>
        <w:rPr>
          <w:rFonts w:ascii="方正仿宋简体" w:hAnsi="宋体" w:eastAsia="方正仿宋简体"/>
          <w:color w:val="000000" w:themeColor="text1"/>
          <w:sz w:val="32"/>
          <w:szCs w:val="32"/>
          <w14:textFill>
            <w14:solidFill>
              <w14:schemeClr w14:val="tx1"/>
            </w14:solidFill>
          </w14:textFill>
        </w:rPr>
        <w:t>与安瓿瓶（西林瓶）包装的差额以 3 元计</w:t>
      </w:r>
      <w:r>
        <w:rPr>
          <w:rFonts w:hint="eastAsia" w:ascii="方正仿宋简体" w:hAnsi="宋体" w:eastAsia="方正仿宋简体"/>
          <w:color w:val="000000" w:themeColor="text1"/>
          <w:sz w:val="32"/>
          <w:szCs w:val="32"/>
          <w14:textFill>
            <w14:solidFill>
              <w14:schemeClr w14:val="tx1"/>
            </w14:solidFill>
          </w14:textFill>
        </w:rPr>
        <w:t>，企业申报价格应为不含预灌封包装和</w:t>
      </w:r>
      <w:r>
        <w:rPr>
          <w:rFonts w:ascii="方正仿宋简体" w:hAnsi="宋体" w:eastAsia="方正仿宋简体"/>
          <w:color w:val="000000" w:themeColor="text1"/>
          <w:sz w:val="32"/>
          <w:szCs w:val="32"/>
          <w14:textFill>
            <w14:solidFill>
              <w14:schemeClr w14:val="tx1"/>
            </w14:solidFill>
          </w14:textFill>
        </w:rPr>
        <w:t>安全装置预灌封</w:t>
      </w:r>
      <w:r>
        <w:rPr>
          <w:rFonts w:hint="eastAsia" w:ascii="方正仿宋简体" w:hAnsi="宋体" w:eastAsia="方正仿宋简体"/>
          <w:color w:val="000000" w:themeColor="text1"/>
          <w:sz w:val="32"/>
          <w:szCs w:val="32"/>
          <w14:textFill>
            <w14:solidFill>
              <w14:schemeClr w14:val="tx1"/>
            </w14:solidFill>
          </w14:textFill>
        </w:rPr>
        <w:t>的价格，待后续挂网交易中将加上包装材质的差价。</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5.2企业申报价格（以最小制剂单位计）：</w:t>
      </w:r>
      <w:r>
        <w:rPr>
          <w:rFonts w:hint="eastAsia" w:ascii="方正仿宋简体" w:hAnsi="宋体" w:eastAsia="方正仿宋简体"/>
          <w:color w:val="000000" w:themeColor="text1"/>
          <w:sz w:val="32"/>
          <w:szCs w:val="32"/>
          <w:u w:val="single"/>
          <w14:textFill>
            <w14:solidFill>
              <w14:schemeClr w14:val="tx1"/>
            </w14:solidFill>
          </w14:textFill>
        </w:rPr>
        <w:t>申报价按药品差比价规则折算至最小计量单位（指单片/单粒/单袋/单支等）后的价格作为“企业申报价”（四舍五入保留小数点后4位）。</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5.3申报价为申报企业的实际供应价，应包括税费、配送费等在内的所有费用。</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5.4挂网交易的零售包装价格，将按差比价规则换算后四舍五入保留到小数点后2位；</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5.5本次带量采购所涉药品差比价关系参照现有规则，根据剂型、规格（装量差异按照含量差比价计算）、包装数量计算，不考虑包装材料差异。</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口服片剂、口服胶囊剂最小零售包装价格按以下方法计算：</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其他条件相同时，非代表品价格＝代表品价格×包装数量比价值。包装数量比价值计算公式为：K ＝1.95log2X（K ＝比价值，X ＝非代表品包装数量÷代表品包装数量）。</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其他类别的剂型，最小零售包装价格按最小独立包装或最小计量单位的价格乘以包装数量计算。</w:t>
      </w:r>
    </w:p>
    <w:p>
      <w:pPr>
        <w:adjustRightInd w:val="0"/>
        <w:snapToGrid w:val="0"/>
        <w:spacing w:line="600" w:lineRule="exact"/>
        <w:ind w:firstLine="640"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6.申报材料的式样和签署</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6.1申报材料须打印或用不褪色书写工具书写，并由申报企业加盖公章。申报企业须将以书面形式出具的《法定代表人授权书》（附件3）附在申报材料中。</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6.2申报企业除对笔误等作勘误外，不得行间插字、涂改或增删，如有修改错漏处，必须由企业法定代表人或其授权代表签字或盖章。</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三、申报材料递交</w:t>
      </w:r>
    </w:p>
    <w:p>
      <w:pPr>
        <w:adjustRightInd w:val="0"/>
        <w:snapToGrid w:val="0"/>
        <w:spacing w:line="600" w:lineRule="exact"/>
        <w:ind w:firstLine="640"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7.申报材料的封装和标记</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7.1申报企业“申报材料”应按公告附件1及本采购文件4.1要求提供并装订成册。</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7.2“报价信息表”（附件2）需提供excel电子版资料（U盘），内容以纸质版资料为准。</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7.3将装订成册的“申报材料”、纸质“报价信息表”及excel电子版“报价信息表”（U盘）封装（纸质“报价信息表”置于申报文件第一页），封装后粘贴“申报材料封面样张”（附件6），并标明申报截止时间前不得启封。封口处加盖企业公章或由被授权人签字。</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7.4企业应确保申报资料密封完好，否则云南省政府采购和出让中心有权拒收申报资料。</w:t>
      </w:r>
    </w:p>
    <w:p>
      <w:pPr>
        <w:adjustRightInd w:val="0"/>
        <w:snapToGrid w:val="0"/>
        <w:spacing w:line="600" w:lineRule="exact"/>
        <w:ind w:firstLine="640"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8.申报截止时间</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8.1申报企业应在规定地点和截止时间前递交申报材料。</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8.2云南省政府采购和出让中心根据公证机构的意见，拒绝接收在截止时间后递交的任何申报及申报材料。</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8.3申报材料递交截止时间后，申报企业不得对其申报材料做任何修改，企业申报资料不退不换。</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四、申报信息公开</w:t>
      </w:r>
    </w:p>
    <w:p>
      <w:pPr>
        <w:adjustRightInd w:val="0"/>
        <w:snapToGrid w:val="0"/>
        <w:spacing w:line="600" w:lineRule="exact"/>
        <w:ind w:firstLine="640"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9.申报信息公开</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申报信息公开时邀请所有申报企业、有关部门和公证机构参加，对申报信息公开的全过程进行监督。</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五、拟中选企业确定</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10.同一药品规格有两家及以上企业报价的，且符合“申报资格”的，</w:t>
      </w:r>
      <w:bookmarkStart w:id="1" w:name="_GoBack"/>
      <w:bookmarkEnd w:id="1"/>
      <w:r>
        <w:rPr>
          <w:rFonts w:hint="eastAsia" w:ascii="方正仿宋简体" w:hAnsi="宋体" w:eastAsia="方正仿宋简体"/>
          <w:color w:val="000000" w:themeColor="text1"/>
          <w:sz w:val="32"/>
          <w:szCs w:val="32"/>
          <w14:textFill>
            <w14:solidFill>
              <w14:schemeClr w14:val="tx1"/>
            </w14:solidFill>
          </w14:textFill>
        </w:rPr>
        <w:t>报价最低者中选。</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11.如企业报价相同，则原料药自产企业优先。</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六、中选药品确定</w:t>
      </w:r>
    </w:p>
    <w:p>
      <w:pPr>
        <w:adjustRightInd w:val="0"/>
        <w:snapToGrid w:val="0"/>
        <w:spacing w:line="600" w:lineRule="exact"/>
        <w:ind w:firstLine="640"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12.拟中选结果公示</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拟中选结果在“云南省药品集中采购平台”（www.ynyyzb.com.cn）公示，并接受申诉、质疑。经公示，如拟中选企业被取消中选资格的，从该品种其他拟中选企业中按申报价格从低到高确定替补的供应企业。</w:t>
      </w:r>
    </w:p>
    <w:p>
      <w:pPr>
        <w:adjustRightInd w:val="0"/>
        <w:snapToGrid w:val="0"/>
        <w:spacing w:line="600" w:lineRule="exact"/>
        <w:ind w:firstLine="640"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13.中选通知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拟中选结果公示无异议后，云南省政府采购和出让中心将发布中选通知。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14.中选药品列入云南省药品集中采购平台带量采购专区，执行国家集中采购金预付、结余留用等相关政策。中选企业在云南省药品集中采购平台选择不超过3家配送企业配送，并建立配送关系。</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15.中选品种出现被药品监督管理部门暂停生产、销售、使用、进口等情况，取消中选资格。</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16.本采购文件仅适用于本次带量采购采购所述项目的药品及相关服务，最终解释权归云南省政府采购和出让中心。</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jc w:val="right"/>
        <w:rPr>
          <w:rFonts w:ascii="方正仿宋简体" w:hAnsi="宋体" w:eastAsia="方正仿宋简体"/>
          <w:color w:val="000000" w:themeColor="text1"/>
          <w:sz w:val="32"/>
          <w:szCs w:val="32"/>
          <w14:textFill>
            <w14:solidFill>
              <w14:schemeClr w14:val="tx1"/>
            </w14:solidFill>
          </w14:textFill>
        </w:rPr>
      </w:pPr>
    </w:p>
    <w:sectPr>
      <w:footerReference r:id="rId4" w:type="default"/>
      <w:pgSz w:w="11906" w:h="16838"/>
      <w:pgMar w:top="1440" w:right="1797" w:bottom="1440" w:left="179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方正小标宋简体">
    <w:altName w:val="Arial Unicode MS"/>
    <w:panose1 w:val="02010601030101010101"/>
    <w:charset w:val="86"/>
    <w:family w:val="auto"/>
    <w:pitch w:val="default"/>
    <w:sig w:usb0="00000000" w:usb1="00000000" w:usb2="00000010" w:usb3="00000000" w:csb0="00040000" w:csb1="00000000"/>
  </w:font>
  <w:font w:name="方正仿宋简体">
    <w:altName w:val="微软雅黑"/>
    <w:panose1 w:val="02010601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14296571"/>
    </w:sdtPr>
    <w:sdtContent>
      <w:p>
        <w:pPr>
          <w:pStyle w:val="4"/>
          <w:jc w:val="center"/>
        </w:pPr>
        <w:r>
          <w:fldChar w:fldCharType="begin"/>
        </w:r>
        <w:r>
          <w:instrText xml:space="preserve">PAGE   \* MERGEFORMAT</w:instrText>
        </w:r>
        <w:r>
          <w:fldChar w:fldCharType="separate"/>
        </w:r>
        <w:r>
          <w:rPr>
            <w:lang w:val="zh-CN"/>
          </w:rPr>
          <w:t>-</w:t>
        </w:r>
        <w:r>
          <w:t xml:space="preserve"> 11 -</w:t>
        </w:r>
        <w: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yMmZhYWU3YmM3YWUwYzA3OGQwYTIzMjAwMzdkNGUifQ=="/>
    <w:docVar w:name="KSO_WPS_MARK_KEY" w:val="76841319-12bb-4e69-b398-cb0bef8d2efa"/>
  </w:docVars>
  <w:rsids>
    <w:rsidRoot w:val="0003012D"/>
    <w:rsid w:val="00002446"/>
    <w:rsid w:val="00020F3F"/>
    <w:rsid w:val="0003012D"/>
    <w:rsid w:val="00040C2E"/>
    <w:rsid w:val="00042DB9"/>
    <w:rsid w:val="000545AD"/>
    <w:rsid w:val="0006688D"/>
    <w:rsid w:val="00077BAF"/>
    <w:rsid w:val="000D1A8A"/>
    <w:rsid w:val="001108A8"/>
    <w:rsid w:val="00140EED"/>
    <w:rsid w:val="00157285"/>
    <w:rsid w:val="00165F6A"/>
    <w:rsid w:val="00182C0A"/>
    <w:rsid w:val="001A082B"/>
    <w:rsid w:val="001F094F"/>
    <w:rsid w:val="001F57E9"/>
    <w:rsid w:val="00204107"/>
    <w:rsid w:val="00206A8D"/>
    <w:rsid w:val="002076CC"/>
    <w:rsid w:val="00220418"/>
    <w:rsid w:val="002448E2"/>
    <w:rsid w:val="00294D7E"/>
    <w:rsid w:val="002D548F"/>
    <w:rsid w:val="002E39CE"/>
    <w:rsid w:val="00345FA5"/>
    <w:rsid w:val="00350DDA"/>
    <w:rsid w:val="00361DD0"/>
    <w:rsid w:val="003620F2"/>
    <w:rsid w:val="003D0187"/>
    <w:rsid w:val="003D48B4"/>
    <w:rsid w:val="003E056F"/>
    <w:rsid w:val="003E6B2A"/>
    <w:rsid w:val="004002C7"/>
    <w:rsid w:val="0041279B"/>
    <w:rsid w:val="004156CA"/>
    <w:rsid w:val="004769F8"/>
    <w:rsid w:val="004879D7"/>
    <w:rsid w:val="004A1BFC"/>
    <w:rsid w:val="004C32DB"/>
    <w:rsid w:val="004F01F4"/>
    <w:rsid w:val="00517A7E"/>
    <w:rsid w:val="005222B0"/>
    <w:rsid w:val="00544824"/>
    <w:rsid w:val="005A4B1B"/>
    <w:rsid w:val="005E0D7B"/>
    <w:rsid w:val="005F6FEB"/>
    <w:rsid w:val="00605F8B"/>
    <w:rsid w:val="00621491"/>
    <w:rsid w:val="00641A04"/>
    <w:rsid w:val="006421B4"/>
    <w:rsid w:val="00644606"/>
    <w:rsid w:val="0065136B"/>
    <w:rsid w:val="006829DE"/>
    <w:rsid w:val="006871F2"/>
    <w:rsid w:val="006B0A7F"/>
    <w:rsid w:val="006C22FE"/>
    <w:rsid w:val="006C4047"/>
    <w:rsid w:val="006D12E1"/>
    <w:rsid w:val="006F61DC"/>
    <w:rsid w:val="00722BB3"/>
    <w:rsid w:val="007265EE"/>
    <w:rsid w:val="0073169F"/>
    <w:rsid w:val="0077088C"/>
    <w:rsid w:val="00777BE4"/>
    <w:rsid w:val="0079273B"/>
    <w:rsid w:val="007928C6"/>
    <w:rsid w:val="007B706B"/>
    <w:rsid w:val="007D6321"/>
    <w:rsid w:val="00820201"/>
    <w:rsid w:val="00824064"/>
    <w:rsid w:val="00846671"/>
    <w:rsid w:val="008501BD"/>
    <w:rsid w:val="008812D1"/>
    <w:rsid w:val="00882600"/>
    <w:rsid w:val="008B3FBA"/>
    <w:rsid w:val="008C23CB"/>
    <w:rsid w:val="008D6F1F"/>
    <w:rsid w:val="008F2ED0"/>
    <w:rsid w:val="00931D86"/>
    <w:rsid w:val="0095060A"/>
    <w:rsid w:val="0097174C"/>
    <w:rsid w:val="00976029"/>
    <w:rsid w:val="00986E8D"/>
    <w:rsid w:val="009E68CB"/>
    <w:rsid w:val="00A024D2"/>
    <w:rsid w:val="00A17219"/>
    <w:rsid w:val="00A30AF5"/>
    <w:rsid w:val="00A367E9"/>
    <w:rsid w:val="00A424E0"/>
    <w:rsid w:val="00A5056E"/>
    <w:rsid w:val="00AC6A80"/>
    <w:rsid w:val="00AF6BA1"/>
    <w:rsid w:val="00B26D06"/>
    <w:rsid w:val="00B6065D"/>
    <w:rsid w:val="00BB50BE"/>
    <w:rsid w:val="00BD4CBD"/>
    <w:rsid w:val="00BD4E54"/>
    <w:rsid w:val="00BE413E"/>
    <w:rsid w:val="00C013CC"/>
    <w:rsid w:val="00C06FB8"/>
    <w:rsid w:val="00C15C60"/>
    <w:rsid w:val="00C31422"/>
    <w:rsid w:val="00C5777C"/>
    <w:rsid w:val="00C6220A"/>
    <w:rsid w:val="00C974F5"/>
    <w:rsid w:val="00CA2B00"/>
    <w:rsid w:val="00CA2FBD"/>
    <w:rsid w:val="00CB1710"/>
    <w:rsid w:val="00D16816"/>
    <w:rsid w:val="00D47FA0"/>
    <w:rsid w:val="00D60AA7"/>
    <w:rsid w:val="00D71B3E"/>
    <w:rsid w:val="00D9143D"/>
    <w:rsid w:val="00DA7C90"/>
    <w:rsid w:val="00E13442"/>
    <w:rsid w:val="00E44751"/>
    <w:rsid w:val="00E51EB5"/>
    <w:rsid w:val="00E62532"/>
    <w:rsid w:val="00E64B83"/>
    <w:rsid w:val="00E914EA"/>
    <w:rsid w:val="00E918E2"/>
    <w:rsid w:val="00E93375"/>
    <w:rsid w:val="00EA1FB2"/>
    <w:rsid w:val="00EB7E98"/>
    <w:rsid w:val="00EC572B"/>
    <w:rsid w:val="00EC7455"/>
    <w:rsid w:val="00ED0F8E"/>
    <w:rsid w:val="00ED786A"/>
    <w:rsid w:val="00EF00DB"/>
    <w:rsid w:val="00F01311"/>
    <w:rsid w:val="00F13F35"/>
    <w:rsid w:val="00F14F59"/>
    <w:rsid w:val="00F47768"/>
    <w:rsid w:val="00F5644D"/>
    <w:rsid w:val="00F8029F"/>
    <w:rsid w:val="00F81641"/>
    <w:rsid w:val="00FA4473"/>
    <w:rsid w:val="00FC08AD"/>
    <w:rsid w:val="00FE61B6"/>
    <w:rsid w:val="0D7A4995"/>
    <w:rsid w:val="0EFB4AA6"/>
    <w:rsid w:val="19340696"/>
    <w:rsid w:val="1C236D64"/>
    <w:rsid w:val="1DB5168B"/>
    <w:rsid w:val="1EDD2763"/>
    <w:rsid w:val="22FB5F87"/>
    <w:rsid w:val="28627FF9"/>
    <w:rsid w:val="2B710F4F"/>
    <w:rsid w:val="2EBE3AD1"/>
    <w:rsid w:val="3348173F"/>
    <w:rsid w:val="37146915"/>
    <w:rsid w:val="3BFC49C4"/>
    <w:rsid w:val="4EF55F09"/>
    <w:rsid w:val="577E44E6"/>
    <w:rsid w:val="6ABE3E35"/>
    <w:rsid w:val="6D610AD4"/>
    <w:rsid w:val="6DBE502F"/>
    <w:rsid w:val="70F01144"/>
    <w:rsid w:val="78000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5"/>
    <w:semiHidden/>
    <w:unhideWhenUsed/>
    <w:qFormat/>
    <w:uiPriority w:val="99"/>
    <w:pPr>
      <w:ind w:left="100" w:leftChars="2500"/>
    </w:pPr>
  </w:style>
  <w:style w:type="paragraph" w:styleId="3">
    <w:name w:val="Balloon Text"/>
    <w:basedOn w:val="1"/>
    <w:link w:val="16"/>
    <w:semiHidden/>
    <w:unhideWhenUsed/>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nhideWhenUsed/>
    <w:qFormat/>
    <w:uiPriority w:val="99"/>
    <w:rPr>
      <w:color w:val="0000FF" w:themeColor="hyperlink"/>
      <w:u w:val="single"/>
      <w14:textFill>
        <w14:solidFill>
          <w14:schemeClr w14:val="hlink"/>
        </w14:solidFill>
      </w14:textFill>
    </w:rPr>
  </w:style>
  <w:style w:type="character" w:customStyle="1" w:styleId="10">
    <w:name w:val="页眉 字符"/>
    <w:basedOn w:val="8"/>
    <w:link w:val="5"/>
    <w:qFormat/>
    <w:uiPriority w:val="99"/>
    <w:rPr>
      <w:sz w:val="18"/>
      <w:szCs w:val="18"/>
    </w:rPr>
  </w:style>
  <w:style w:type="character" w:customStyle="1" w:styleId="11">
    <w:name w:val="页脚 字符"/>
    <w:basedOn w:val="8"/>
    <w:link w:val="4"/>
    <w:qFormat/>
    <w:uiPriority w:val="99"/>
    <w:rPr>
      <w:sz w:val="18"/>
      <w:szCs w:val="18"/>
    </w:rPr>
  </w:style>
  <w:style w:type="character" w:customStyle="1" w:styleId="12">
    <w:name w:val="正文文本 2 Char"/>
    <w:link w:val="13"/>
    <w:qFormat/>
    <w:uiPriority w:val="0"/>
    <w:rPr>
      <w:rFonts w:ascii="黑体" w:hAnsi="宋体" w:eastAsia="黑体" w:cs="Times New Roman"/>
      <w:b/>
      <w:snapToGrid w:val="0"/>
      <w:kern w:val="0"/>
      <w:sz w:val="84"/>
      <w:szCs w:val="24"/>
    </w:rPr>
  </w:style>
  <w:style w:type="paragraph" w:customStyle="1" w:styleId="13">
    <w:name w:val="正文文本 21"/>
    <w:basedOn w:val="1"/>
    <w:link w:val="12"/>
    <w:qFormat/>
    <w:uiPriority w:val="0"/>
    <w:pPr>
      <w:adjustRightInd w:val="0"/>
      <w:snapToGrid w:val="0"/>
      <w:spacing w:line="360" w:lineRule="auto"/>
      <w:jc w:val="center"/>
    </w:pPr>
    <w:rPr>
      <w:rFonts w:ascii="黑体" w:hAnsi="宋体" w:eastAsia="黑体"/>
      <w:b/>
      <w:snapToGrid w:val="0"/>
      <w:kern w:val="0"/>
      <w:sz w:val="84"/>
    </w:rPr>
  </w:style>
  <w:style w:type="paragraph" w:customStyle="1" w:styleId="1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character" w:customStyle="1" w:styleId="15">
    <w:name w:val="日期 字符"/>
    <w:basedOn w:val="8"/>
    <w:link w:val="2"/>
    <w:semiHidden/>
    <w:qFormat/>
    <w:uiPriority w:val="99"/>
    <w:rPr>
      <w:rFonts w:ascii="Times New Roman" w:hAnsi="Times New Roman" w:eastAsia="宋体" w:cs="Times New Roman"/>
      <w:szCs w:val="24"/>
    </w:rPr>
  </w:style>
  <w:style w:type="character" w:customStyle="1" w:styleId="16">
    <w:name w:val="批注框文本 字符"/>
    <w:basedOn w:val="8"/>
    <w:link w:val="3"/>
    <w:semiHidden/>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13</Pages>
  <Words>4478</Words>
  <Characters>5057</Characters>
  <Lines>38</Lines>
  <Paragraphs>10</Paragraphs>
  <TotalTime>312</TotalTime>
  <ScaleCrop>false</ScaleCrop>
  <LinksUpToDate>false</LinksUpToDate>
  <CharactersWithSpaces>5084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2021-12-09T01:26:00Z</dcterms:created>
  <dc:creator>USER</dc:creator>
  <cp:lastModifiedBy>青屿</cp:lastModifiedBy>
  <dcterms:modified xsi:type="dcterms:W3CDTF">2023-06-20T02:08:21Z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A34A63A519DA4BB6871582A04FA961CF</vt:lpwstr>
  </property>
</Properties>
</file>