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4DCEA8">
      <w:pPr>
        <w:jc w:val="center"/>
        <w:rPr>
          <w:rFonts w:hint="eastAsia"/>
          <w:sz w:val="44"/>
          <w:szCs w:val="44"/>
          <w:lang w:val="en-US" w:eastAsia="zh-CN"/>
        </w:rPr>
      </w:pPr>
    </w:p>
    <w:p w14:paraId="43C07745">
      <w:pPr>
        <w:jc w:val="center"/>
        <w:rPr>
          <w:rFonts w:hint="eastAsia"/>
          <w:sz w:val="48"/>
          <w:szCs w:val="48"/>
          <w:lang w:val="en-US" w:eastAsia="zh-CN"/>
        </w:rPr>
      </w:pPr>
      <w:r>
        <w:rPr>
          <w:rFonts w:hint="eastAsia"/>
          <w:sz w:val="48"/>
          <w:szCs w:val="48"/>
          <w:lang w:val="en-US" w:eastAsia="zh-CN"/>
        </w:rPr>
        <w:t>招采子系统</w:t>
      </w:r>
      <w:r>
        <w:rPr>
          <w:rFonts w:hint="eastAsia"/>
          <w:sz w:val="48"/>
          <w:szCs w:val="48"/>
          <w:lang w:val="en-US" w:eastAsia="zh-CN"/>
        </w:rPr>
        <w:t>中药交易管理（饮片、配方颗粒）</w:t>
      </w:r>
      <w:r>
        <w:rPr>
          <w:rFonts w:hint="eastAsia"/>
          <w:sz w:val="48"/>
          <w:szCs w:val="48"/>
          <w:lang w:val="en-US" w:eastAsia="zh-CN"/>
        </w:rPr>
        <w:t>操作手册</w:t>
      </w:r>
      <w:bookmarkStart w:id="13" w:name="_GoBack"/>
      <w:bookmarkEnd w:id="13"/>
    </w:p>
    <w:p w14:paraId="4CD2B705">
      <w:pPr>
        <w:jc w:val="center"/>
        <w:rPr>
          <w:rFonts w:hint="eastAsia"/>
          <w:sz w:val="44"/>
          <w:szCs w:val="44"/>
          <w:lang w:val="en-US" w:eastAsia="zh-CN"/>
        </w:rPr>
      </w:pPr>
    </w:p>
    <w:p w14:paraId="386D8A8B">
      <w:pPr>
        <w:jc w:val="center"/>
        <w:rPr>
          <w:rFonts w:hint="default"/>
          <w:sz w:val="44"/>
          <w:szCs w:val="44"/>
          <w:lang w:val="en-US" w:eastAsia="zh-CN"/>
        </w:rPr>
      </w:pPr>
    </w:p>
    <w:p w14:paraId="2EEDA71B">
      <w:pPr>
        <w:jc w:val="center"/>
        <w:rPr>
          <w:rFonts w:hint="eastAsia"/>
          <w:sz w:val="36"/>
          <w:szCs w:val="36"/>
          <w:lang w:val="en-US" w:eastAsia="zh-CN"/>
        </w:rPr>
      </w:pPr>
      <w:r>
        <w:rPr>
          <w:rFonts w:hint="eastAsia"/>
          <w:sz w:val="36"/>
          <w:szCs w:val="36"/>
          <w:lang w:val="en-US" w:eastAsia="zh-CN"/>
        </w:rPr>
        <w:t>（生产企业端）</w:t>
      </w:r>
    </w:p>
    <w:p w14:paraId="62484444">
      <w:pPr>
        <w:jc w:val="center"/>
        <w:rPr>
          <w:rFonts w:hint="eastAsia"/>
          <w:sz w:val="36"/>
          <w:szCs w:val="36"/>
          <w:lang w:val="en-US" w:eastAsia="zh-CN"/>
        </w:rPr>
      </w:pPr>
    </w:p>
    <w:p w14:paraId="69B3EFBE">
      <w:pPr>
        <w:jc w:val="center"/>
        <w:rPr>
          <w:rFonts w:hint="eastAsia"/>
          <w:sz w:val="36"/>
          <w:szCs w:val="36"/>
          <w:lang w:val="en-US" w:eastAsia="zh-CN"/>
        </w:rPr>
      </w:pPr>
    </w:p>
    <w:p w14:paraId="4B50A05E">
      <w:pPr>
        <w:jc w:val="center"/>
        <w:rPr>
          <w:rFonts w:hint="eastAsia"/>
          <w:sz w:val="36"/>
          <w:szCs w:val="36"/>
          <w:lang w:val="en-US" w:eastAsia="zh-CN"/>
        </w:rPr>
      </w:pPr>
    </w:p>
    <w:p w14:paraId="4C3AF0A2">
      <w:pPr>
        <w:jc w:val="center"/>
        <w:rPr>
          <w:rFonts w:hint="eastAsia"/>
          <w:sz w:val="36"/>
          <w:szCs w:val="36"/>
          <w:lang w:val="en-US" w:eastAsia="zh-CN"/>
        </w:rPr>
      </w:pPr>
    </w:p>
    <w:p w14:paraId="10977613">
      <w:pPr>
        <w:jc w:val="center"/>
        <w:rPr>
          <w:rFonts w:hint="eastAsia"/>
          <w:sz w:val="36"/>
          <w:szCs w:val="36"/>
          <w:lang w:val="en-US" w:eastAsia="zh-CN"/>
        </w:rPr>
      </w:pPr>
    </w:p>
    <w:p w14:paraId="604E547D">
      <w:pPr>
        <w:jc w:val="center"/>
        <w:rPr>
          <w:rFonts w:hint="eastAsia"/>
          <w:sz w:val="36"/>
          <w:szCs w:val="36"/>
          <w:lang w:val="en-US" w:eastAsia="zh-CN"/>
        </w:rPr>
      </w:pPr>
    </w:p>
    <w:p w14:paraId="40B24990">
      <w:pPr>
        <w:jc w:val="center"/>
        <w:rPr>
          <w:rFonts w:hint="eastAsia"/>
          <w:sz w:val="36"/>
          <w:szCs w:val="36"/>
          <w:lang w:val="en-US" w:eastAsia="zh-CN"/>
        </w:rPr>
      </w:pPr>
    </w:p>
    <w:p w14:paraId="2F94B442">
      <w:pPr>
        <w:jc w:val="center"/>
        <w:rPr>
          <w:rFonts w:hint="eastAsia"/>
          <w:sz w:val="36"/>
          <w:szCs w:val="36"/>
          <w:lang w:val="en-US" w:eastAsia="zh-CN"/>
        </w:rPr>
      </w:pPr>
    </w:p>
    <w:p w14:paraId="0C0996D3">
      <w:pPr>
        <w:jc w:val="center"/>
        <w:rPr>
          <w:rFonts w:hint="eastAsia"/>
          <w:sz w:val="36"/>
          <w:szCs w:val="36"/>
          <w:lang w:val="en-US" w:eastAsia="zh-CN"/>
        </w:rPr>
      </w:pPr>
    </w:p>
    <w:p w14:paraId="0C5408FF">
      <w:pPr>
        <w:jc w:val="both"/>
        <w:rPr>
          <w:rFonts w:hint="eastAsia"/>
          <w:sz w:val="36"/>
          <w:szCs w:val="36"/>
          <w:lang w:val="en-US" w:eastAsia="zh-CN"/>
        </w:rPr>
      </w:pPr>
    </w:p>
    <w:p w14:paraId="0F3AB377">
      <w:pPr>
        <w:jc w:val="center"/>
        <w:rPr>
          <w:rFonts w:hint="eastAsia"/>
          <w:sz w:val="36"/>
          <w:szCs w:val="36"/>
          <w:lang w:val="en-US" w:eastAsia="zh-CN"/>
        </w:rPr>
      </w:pPr>
    </w:p>
    <w:p w14:paraId="496CD0E7">
      <w:pPr>
        <w:jc w:val="center"/>
        <w:rPr>
          <w:rFonts w:hint="eastAsia"/>
          <w:sz w:val="36"/>
          <w:szCs w:val="36"/>
          <w:lang w:val="en-US" w:eastAsia="zh-CN"/>
        </w:rPr>
      </w:pPr>
    </w:p>
    <w:p w14:paraId="7768F13E">
      <w:pPr>
        <w:jc w:val="center"/>
        <w:rPr>
          <w:rFonts w:hint="default"/>
          <w:sz w:val="36"/>
          <w:szCs w:val="36"/>
          <w:lang w:val="en-US" w:eastAsia="zh-CN"/>
        </w:rPr>
      </w:pPr>
      <w:r>
        <w:rPr>
          <w:rFonts w:hint="eastAsia"/>
          <w:sz w:val="36"/>
          <w:szCs w:val="36"/>
          <w:lang w:val="en-US" w:eastAsia="zh-CN"/>
        </w:rPr>
        <w:t>2025年5月22日</w:t>
      </w:r>
    </w:p>
    <w:p w14:paraId="39F1BB54">
      <w:pPr>
        <w:jc w:val="center"/>
        <w:rPr>
          <w:rFonts w:hint="eastAsia"/>
          <w:sz w:val="36"/>
          <w:szCs w:val="36"/>
          <w:lang w:val="en-US" w:eastAsia="zh-CN"/>
        </w:rPr>
      </w:pPr>
    </w:p>
    <w:p w14:paraId="4F33890A">
      <w:pPr>
        <w:jc w:val="both"/>
        <w:rPr>
          <w:rFonts w:hint="eastAsia"/>
          <w:sz w:val="36"/>
          <w:szCs w:val="36"/>
          <w:lang w:val="en-US" w:eastAsia="zh-CN"/>
        </w:rPr>
      </w:pPr>
    </w:p>
    <w:p w14:paraId="3D5E07F0">
      <w:pPr>
        <w:jc w:val="both"/>
        <w:rPr>
          <w:rFonts w:hint="eastAsia"/>
          <w:sz w:val="36"/>
          <w:szCs w:val="36"/>
          <w:lang w:val="en-US" w:eastAsia="zh-CN"/>
        </w:rPr>
        <w:sectPr>
          <w:pgSz w:w="11906" w:h="16838"/>
          <w:pgMar w:top="1440" w:right="1800" w:bottom="1440" w:left="1800" w:header="851" w:footer="992" w:gutter="0"/>
          <w:cols w:space="425" w:num="1"/>
          <w:docGrid w:type="lines" w:linePitch="312" w:charSpace="0"/>
        </w:sectPr>
      </w:pPr>
    </w:p>
    <w:p w14:paraId="7747D465">
      <w:pPr>
        <w:jc w:val="both"/>
        <w:rPr>
          <w:rFonts w:hint="eastAsia"/>
          <w:sz w:val="36"/>
          <w:szCs w:val="36"/>
          <w:lang w:val="en-US" w:eastAsia="zh-CN"/>
        </w:rPr>
      </w:pPr>
    </w:p>
    <w:sdt>
      <w:sdtPr>
        <w:rPr>
          <w:rFonts w:hint="eastAsia" w:asciiTheme="majorEastAsia" w:hAnsiTheme="majorEastAsia" w:eastAsiaTheme="majorEastAsia" w:cstheme="majorEastAsia"/>
          <w:kern w:val="2"/>
          <w:sz w:val="28"/>
          <w:szCs w:val="28"/>
          <w:lang w:val="en-US" w:eastAsia="zh-CN" w:bidi="ar-SA"/>
        </w:rPr>
        <w:id w:val="391796160"/>
        <w15:color w:val="DBDBDB"/>
        <w:docPartObj>
          <w:docPartGallery w:val="Table of Contents"/>
          <w:docPartUnique/>
        </w:docPartObj>
      </w:sdtPr>
      <w:sdtEndPr>
        <w:rPr>
          <w:rFonts w:hint="eastAsia" w:asciiTheme="minorHAnsi" w:hAnsiTheme="minorHAnsi" w:eastAsiaTheme="minorEastAsia" w:cstheme="minorBidi"/>
          <w:kern w:val="2"/>
          <w:sz w:val="21"/>
          <w:szCs w:val="36"/>
          <w:lang w:val="en-US" w:eastAsia="zh-CN" w:bidi="ar-SA"/>
        </w:rPr>
      </w:sdtEndPr>
      <w:sdtContent>
        <w:p w14:paraId="49F35328">
          <w:pPr>
            <w:spacing w:before="0" w:beforeLines="0" w:after="0" w:afterLines="0" w:line="240" w:lineRule="auto"/>
            <w:ind w:left="0" w:leftChars="0" w:right="0" w:rightChars="0" w:firstLine="0" w:firstLineChars="0"/>
            <w:jc w:val="center"/>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目录</w:t>
          </w:r>
        </w:p>
        <w:p w14:paraId="1F2591E2">
          <w:pPr>
            <w:pStyle w:val="6"/>
            <w:tabs>
              <w:tab w:val="right" w:leader="dot" w:pos="8306"/>
            </w:tabs>
            <w:rPr>
              <w:rFonts w:hint="eastAsia" w:ascii="宋体" w:hAnsi="宋体" w:eastAsia="宋体" w:cs="宋体"/>
              <w:sz w:val="28"/>
              <w:szCs w:val="28"/>
            </w:rPr>
          </w:pPr>
          <w:r>
            <w:rPr>
              <w:rFonts w:hint="eastAsia" w:asciiTheme="majorEastAsia" w:hAnsiTheme="majorEastAsia" w:eastAsiaTheme="majorEastAsia" w:cstheme="majorEastAsia"/>
              <w:sz w:val="28"/>
              <w:szCs w:val="28"/>
              <w:lang w:val="en-US" w:eastAsia="zh-CN"/>
            </w:rPr>
            <w:fldChar w:fldCharType="begin"/>
          </w:r>
          <w:r>
            <w:rPr>
              <w:rFonts w:hint="eastAsia" w:asciiTheme="majorEastAsia" w:hAnsiTheme="majorEastAsia" w:eastAsiaTheme="majorEastAsia" w:cstheme="majorEastAsia"/>
              <w:sz w:val="28"/>
              <w:szCs w:val="28"/>
              <w:lang w:val="en-US" w:eastAsia="zh-CN"/>
            </w:rPr>
            <w:instrText xml:space="preserve">TOC \o "1-3" \h \u </w:instrText>
          </w:r>
          <w:r>
            <w:rPr>
              <w:rFonts w:hint="eastAsia" w:asciiTheme="majorEastAsia" w:hAnsiTheme="majorEastAsia" w:eastAsiaTheme="majorEastAsia" w:cstheme="majorEastAsia"/>
              <w:sz w:val="28"/>
              <w:szCs w:val="28"/>
              <w:lang w:val="en-US" w:eastAsia="zh-CN"/>
            </w:rPr>
            <w:fldChar w:fldCharType="separate"/>
          </w: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_Toc11701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1:系统登陆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_Toc11701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4861081">
          <w:pPr>
            <w:pStyle w:val="6"/>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_Toc1585 </w:instrText>
          </w:r>
          <w:r>
            <w:rPr>
              <w:rFonts w:hint="eastAsia" w:ascii="宋体" w:hAnsi="宋体" w:eastAsia="宋体" w:cs="宋体"/>
              <w:sz w:val="28"/>
              <w:szCs w:val="28"/>
              <w:lang w:val="en-US" w:eastAsia="zh-CN"/>
            </w:rPr>
            <w:fldChar w:fldCharType="separate"/>
          </w:r>
          <w:r>
            <w:rPr>
              <w:rFonts w:hint="eastAsia" w:ascii="宋体" w:hAnsi="宋体" w:eastAsia="宋体" w:cs="宋体"/>
              <w:bCs w:val="0"/>
              <w:sz w:val="28"/>
              <w:szCs w:val="28"/>
              <w:lang w:val="en-US" w:eastAsia="zh-CN"/>
            </w:rPr>
            <w:t>2:目录管理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_Toc1585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088F3C20">
          <w:pPr>
            <w:pStyle w:val="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_Toc22449 </w:instrText>
          </w:r>
          <w:r>
            <w:rPr>
              <w:rFonts w:hint="eastAsia" w:ascii="宋体" w:hAnsi="宋体" w:eastAsia="宋体" w:cs="宋体"/>
              <w:sz w:val="28"/>
              <w:szCs w:val="28"/>
              <w:lang w:val="en-US" w:eastAsia="zh-CN"/>
            </w:rPr>
            <w:fldChar w:fldCharType="separate"/>
          </w:r>
          <w:r>
            <w:rPr>
              <w:rFonts w:hint="eastAsia" w:ascii="宋体" w:hAnsi="宋体" w:eastAsia="宋体" w:cs="宋体"/>
              <w:bCs w:val="0"/>
              <w:sz w:val="28"/>
              <w:szCs w:val="28"/>
              <w:lang w:val="en-US" w:eastAsia="zh-CN"/>
            </w:rPr>
            <w:t>2.1挂网目录查询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_Toc22449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0619A5DD">
          <w:pPr>
            <w:pStyle w:val="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_Toc6089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2.2二次议价管理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_Toc6089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EBEFAA7">
          <w:pPr>
            <w:pStyle w:val="6"/>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_Toc10601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3:发货管理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_Toc10601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0ADB889A">
          <w:pPr>
            <w:pStyle w:val="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_Toc28611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3.1按订单发货</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_Toc28611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5F45401E">
          <w:pPr>
            <w:pStyle w:val="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_Toc6198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3.2按明细发货</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_Toc6198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1A0EE5B8">
          <w:pPr>
            <w:pStyle w:val="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_Toc9412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3.3发货订单管理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_Toc9412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4D87A80F">
          <w:pPr>
            <w:pStyle w:val="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_Toc17432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3.4订单明细跟踪</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_Toc17432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4DB18D17">
          <w:pPr>
            <w:pStyle w:val="6"/>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_Toc21267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4:合同管理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_Toc21267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49445086">
          <w:pPr>
            <w:pStyle w:val="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_Toc27505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4.1合同管理（配送）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_Toc27505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2BF8094B">
          <w:pPr>
            <w:pStyle w:val="7"/>
            <w:tabs>
              <w:tab w:val="right" w:leader="dot" w:pos="8306"/>
            </w:tabs>
            <w:rPr>
              <w:rFonts w:hint="eastAsia" w:ascii="宋体" w:hAnsi="宋体" w:eastAsia="宋体" w:cs="宋体"/>
              <w:sz w:val="28"/>
              <w:szCs w:val="28"/>
            </w:rPr>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_Toc28119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4.2合同管理（生产）</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_Toc28119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69A146E6">
          <w:pPr>
            <w:pStyle w:val="7"/>
            <w:tabs>
              <w:tab w:val="right" w:leader="dot" w:pos="8306"/>
            </w:tabs>
          </w:pPr>
          <w:r>
            <w:rPr>
              <w:rFonts w:hint="eastAsia" w:ascii="宋体" w:hAnsi="宋体" w:eastAsia="宋体" w:cs="宋体"/>
              <w:sz w:val="28"/>
              <w:szCs w:val="28"/>
              <w:lang w:val="en-US" w:eastAsia="zh-CN"/>
            </w:rPr>
            <w:fldChar w:fldCharType="begin"/>
          </w:r>
          <w:r>
            <w:rPr>
              <w:rFonts w:hint="eastAsia" w:ascii="宋体" w:hAnsi="宋体" w:eastAsia="宋体" w:cs="宋体"/>
              <w:sz w:val="28"/>
              <w:szCs w:val="28"/>
              <w:lang w:val="en-US" w:eastAsia="zh-CN"/>
            </w:rPr>
            <w:instrText xml:space="preserve"> HYPERLINK \l _Toc29140 </w:instrText>
          </w:r>
          <w:r>
            <w:rPr>
              <w:rFonts w:hint="eastAsia" w:ascii="宋体" w:hAnsi="宋体" w:eastAsia="宋体" w:cs="宋体"/>
              <w:sz w:val="28"/>
              <w:szCs w:val="28"/>
              <w:lang w:val="en-US" w:eastAsia="zh-CN"/>
            </w:rPr>
            <w:fldChar w:fldCharType="separate"/>
          </w:r>
          <w:r>
            <w:rPr>
              <w:rFonts w:hint="eastAsia" w:ascii="宋体" w:hAnsi="宋体" w:eastAsia="宋体" w:cs="宋体"/>
              <w:sz w:val="28"/>
              <w:szCs w:val="28"/>
              <w:lang w:val="en-US" w:eastAsia="zh-CN"/>
            </w:rPr>
            <w:t>4.3约定采购量查看</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_Toc29140 \h </w:instrText>
          </w:r>
          <w:r>
            <w:rPr>
              <w:rFonts w:hint="eastAsia" w:ascii="宋体" w:hAnsi="宋体" w:eastAsia="宋体" w:cs="宋体"/>
              <w:sz w:val="28"/>
              <w:szCs w:val="28"/>
            </w:rPr>
            <w:fldChar w:fldCharType="separate"/>
          </w:r>
          <w:r>
            <w:rPr>
              <w:rFonts w:hint="eastAsia" w:ascii="宋体" w:hAnsi="宋体" w:eastAsia="宋体" w:cs="宋体"/>
              <w:sz w:val="28"/>
              <w:szCs w:val="28"/>
            </w:rPr>
            <w:t>6</w:t>
          </w:r>
          <w:r>
            <w:rPr>
              <w:rFonts w:hint="eastAsia" w:ascii="宋体" w:hAnsi="宋体" w:eastAsia="宋体" w:cs="宋体"/>
              <w:sz w:val="28"/>
              <w:szCs w:val="28"/>
            </w:rPr>
            <w:fldChar w:fldCharType="end"/>
          </w:r>
          <w:r>
            <w:rPr>
              <w:rFonts w:hint="eastAsia" w:ascii="宋体" w:hAnsi="宋体" w:eastAsia="宋体" w:cs="宋体"/>
              <w:sz w:val="28"/>
              <w:szCs w:val="28"/>
              <w:lang w:val="en-US" w:eastAsia="zh-CN"/>
            </w:rPr>
            <w:fldChar w:fldCharType="end"/>
          </w:r>
        </w:p>
        <w:p w14:paraId="19F1D87C">
          <w:pPr>
            <w:jc w:val="both"/>
            <w:rPr>
              <w:rFonts w:hint="eastAsia" w:asciiTheme="minorHAnsi" w:hAnsiTheme="minorHAnsi" w:eastAsiaTheme="minorEastAsia" w:cstheme="minorBidi"/>
              <w:kern w:val="2"/>
              <w:sz w:val="21"/>
              <w:szCs w:val="36"/>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ajorEastAsia" w:hAnsiTheme="majorEastAsia" w:eastAsiaTheme="majorEastAsia" w:cstheme="majorEastAsia"/>
              <w:szCs w:val="28"/>
              <w:lang w:val="en-US" w:eastAsia="zh-CN"/>
            </w:rPr>
            <w:fldChar w:fldCharType="end"/>
          </w:r>
        </w:p>
      </w:sdtContent>
    </w:sdt>
    <w:p w14:paraId="1982C0EA">
      <w:pPr>
        <w:pStyle w:val="2"/>
        <w:bidi w:val="0"/>
        <w:rPr>
          <w:rFonts w:hint="eastAsia" w:asciiTheme="majorEastAsia" w:hAnsiTheme="majorEastAsia" w:eastAsiaTheme="majorEastAsia" w:cstheme="majorEastAsia"/>
          <w:sz w:val="28"/>
          <w:szCs w:val="28"/>
          <w:lang w:val="en-US" w:eastAsia="zh-CN"/>
        </w:rPr>
      </w:pPr>
      <w:bookmarkStart w:id="0" w:name="_Toc11701"/>
      <w:r>
        <w:rPr>
          <w:rFonts w:hint="eastAsia" w:asciiTheme="majorEastAsia" w:hAnsiTheme="majorEastAsia" w:eastAsiaTheme="majorEastAsia" w:cstheme="majorEastAsia"/>
          <w:sz w:val="28"/>
          <w:szCs w:val="28"/>
          <w:lang w:val="en-US" w:eastAsia="zh-CN"/>
        </w:rPr>
        <w:t>1:系统登陆</w:t>
      </w:r>
      <w:bookmarkEnd w:id="0"/>
    </w:p>
    <w:p w14:paraId="107BC546">
      <w:pPr>
        <w:jc w:val="both"/>
        <w:rPr>
          <w:rFonts w:hint="default"/>
          <w:lang w:val="en-US"/>
        </w:rPr>
      </w:pPr>
      <w:r>
        <w:rPr>
          <w:rFonts w:hint="eastAsia"/>
          <w:sz w:val="28"/>
          <w:szCs w:val="28"/>
          <w:lang w:val="en-US" w:eastAsia="zh-CN"/>
        </w:rPr>
        <w:t>中药交易管理（饮片、配方颗粒）</w:t>
      </w:r>
    </w:p>
    <w:p w14:paraId="0FB24B59">
      <w:pPr>
        <w:jc w:val="both"/>
      </w:pPr>
      <w:r>
        <w:drawing>
          <wp:inline distT="0" distB="0" distL="114300" distR="114300">
            <wp:extent cx="5264785" cy="2320925"/>
            <wp:effectExtent l="0" t="0" r="5715" b="317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5"/>
                    <a:stretch>
                      <a:fillRect/>
                    </a:stretch>
                  </pic:blipFill>
                  <pic:spPr>
                    <a:xfrm>
                      <a:off x="0" y="0"/>
                      <a:ext cx="5264785" cy="2320925"/>
                    </a:xfrm>
                    <a:prstGeom prst="rect">
                      <a:avLst/>
                    </a:prstGeom>
                    <a:noFill/>
                    <a:ln>
                      <a:noFill/>
                    </a:ln>
                  </pic:spPr>
                </pic:pic>
              </a:graphicData>
            </a:graphic>
          </wp:inline>
        </w:drawing>
      </w:r>
    </w:p>
    <w:p w14:paraId="0B4636D9">
      <w:pPr>
        <w:pStyle w:val="2"/>
        <w:bidi w:val="0"/>
        <w:rPr>
          <w:rFonts w:hint="default" w:asciiTheme="minorEastAsia" w:hAnsiTheme="minorEastAsia" w:eastAsiaTheme="minorEastAsia" w:cstheme="minorEastAsia"/>
          <w:b/>
          <w:bCs w:val="0"/>
          <w:sz w:val="28"/>
          <w:szCs w:val="28"/>
          <w:lang w:val="en-US" w:eastAsia="zh-CN"/>
        </w:rPr>
      </w:pPr>
      <w:bookmarkStart w:id="1" w:name="_Toc1585"/>
      <w:r>
        <w:rPr>
          <w:rFonts w:hint="eastAsia" w:asciiTheme="minorEastAsia" w:hAnsiTheme="minorEastAsia" w:eastAsiaTheme="minorEastAsia" w:cstheme="minorEastAsia"/>
          <w:b/>
          <w:bCs w:val="0"/>
          <w:sz w:val="28"/>
          <w:szCs w:val="28"/>
          <w:lang w:val="en-US" w:eastAsia="zh-CN"/>
        </w:rPr>
        <w:t>2:</w:t>
      </w:r>
      <w:r>
        <w:rPr>
          <w:rFonts w:hint="eastAsia" w:asciiTheme="minorEastAsia" w:hAnsiTheme="minorEastAsia" w:cstheme="minorEastAsia"/>
          <w:b/>
          <w:bCs w:val="0"/>
          <w:sz w:val="28"/>
          <w:szCs w:val="28"/>
          <w:lang w:val="en-US" w:eastAsia="zh-CN"/>
        </w:rPr>
        <w:t>目录管理</w:t>
      </w:r>
      <w:bookmarkEnd w:id="1"/>
    </w:p>
    <w:p w14:paraId="706D9483">
      <w:pPr>
        <w:pStyle w:val="3"/>
        <w:bidi w:val="0"/>
        <w:rPr>
          <w:rFonts w:hint="default" w:asciiTheme="minorEastAsia" w:hAnsiTheme="minorEastAsia" w:eastAsiaTheme="minorEastAsia" w:cstheme="minorEastAsia"/>
          <w:b/>
          <w:bCs w:val="0"/>
          <w:sz w:val="28"/>
          <w:szCs w:val="28"/>
          <w:lang w:val="en-US" w:eastAsia="zh-CN"/>
        </w:rPr>
      </w:pPr>
      <w:bookmarkStart w:id="2" w:name="_Toc22449"/>
      <w:r>
        <w:rPr>
          <w:rFonts w:hint="eastAsia" w:asciiTheme="minorEastAsia" w:hAnsiTheme="minorEastAsia" w:eastAsiaTheme="minorEastAsia" w:cstheme="minorEastAsia"/>
          <w:b/>
          <w:bCs w:val="0"/>
          <w:sz w:val="28"/>
          <w:szCs w:val="28"/>
          <w:lang w:val="en-US" w:eastAsia="zh-CN"/>
        </w:rPr>
        <w:t>2.1挂网目录查询</w:t>
      </w:r>
      <w:bookmarkEnd w:id="2"/>
    </w:p>
    <w:p w14:paraId="353D3E52">
      <w:pPr>
        <w:ind w:firstLine="560" w:firstLineChars="200"/>
        <w:jc w:val="both"/>
        <w:rPr>
          <w:rFonts w:hint="default" w:eastAsiaTheme="minorEastAsia"/>
          <w:sz w:val="28"/>
          <w:szCs w:val="28"/>
          <w:lang w:val="en-US" w:eastAsia="zh-CN"/>
        </w:rPr>
      </w:pPr>
      <w:r>
        <w:rPr>
          <w:rFonts w:hint="eastAsia"/>
          <w:sz w:val="28"/>
          <w:szCs w:val="28"/>
          <w:lang w:val="en-US" w:eastAsia="zh-CN"/>
        </w:rPr>
        <w:t>可以根据产品名称，项目名称，挂网状态等模块来进行查询和导出</w:t>
      </w:r>
    </w:p>
    <w:p w14:paraId="02464E25">
      <w:pPr>
        <w:jc w:val="both"/>
      </w:pPr>
      <w:r>
        <w:drawing>
          <wp:inline distT="0" distB="0" distL="114300" distR="114300">
            <wp:extent cx="5269865" cy="2009775"/>
            <wp:effectExtent l="0" t="0" r="635" b="952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icPr>
                  <pic:blipFill>
                    <a:blip r:embed="rId6"/>
                    <a:stretch>
                      <a:fillRect/>
                    </a:stretch>
                  </pic:blipFill>
                  <pic:spPr>
                    <a:xfrm>
                      <a:off x="0" y="0"/>
                      <a:ext cx="5269865" cy="2009775"/>
                    </a:xfrm>
                    <a:prstGeom prst="rect">
                      <a:avLst/>
                    </a:prstGeom>
                    <a:noFill/>
                    <a:ln>
                      <a:noFill/>
                    </a:ln>
                  </pic:spPr>
                </pic:pic>
              </a:graphicData>
            </a:graphic>
          </wp:inline>
        </w:drawing>
      </w:r>
    </w:p>
    <w:p w14:paraId="58BF5C36">
      <w:pPr>
        <w:jc w:val="both"/>
      </w:pPr>
    </w:p>
    <w:p w14:paraId="14489467">
      <w:pPr>
        <w:pStyle w:val="3"/>
        <w:bidi w:val="0"/>
        <w:rPr>
          <w:rFonts w:hint="eastAsia" w:asciiTheme="minorEastAsia" w:hAnsiTheme="minorEastAsia" w:eastAsiaTheme="minorEastAsia" w:cstheme="minorEastAsia"/>
          <w:sz w:val="28"/>
          <w:szCs w:val="28"/>
          <w:lang w:val="en-US" w:eastAsia="zh-CN"/>
        </w:rPr>
      </w:pPr>
      <w:bookmarkStart w:id="3" w:name="_Toc6089"/>
      <w:r>
        <w:rPr>
          <w:rFonts w:hint="eastAsia" w:asciiTheme="minorEastAsia" w:hAnsiTheme="minorEastAsia" w:eastAsiaTheme="minorEastAsia" w:cstheme="minorEastAsia"/>
          <w:sz w:val="28"/>
          <w:szCs w:val="28"/>
          <w:lang w:val="en-US" w:eastAsia="zh-CN"/>
        </w:rPr>
        <w:t>2.2二次议价管理</w:t>
      </w:r>
      <w:bookmarkEnd w:id="3"/>
    </w:p>
    <w:p w14:paraId="7A0BCC1E">
      <w:pPr>
        <w:ind w:firstLine="560" w:firstLineChars="200"/>
        <w:jc w:val="both"/>
        <w:rPr>
          <w:rFonts w:hint="default" w:eastAsiaTheme="minorEastAsia"/>
          <w:sz w:val="28"/>
          <w:szCs w:val="28"/>
          <w:lang w:val="en-US" w:eastAsia="zh-CN"/>
        </w:rPr>
      </w:pPr>
      <w:r>
        <w:rPr>
          <w:rFonts w:hint="eastAsia"/>
          <w:sz w:val="28"/>
          <w:szCs w:val="28"/>
          <w:lang w:val="en-US" w:eastAsia="zh-CN"/>
        </w:rPr>
        <w:t>企业可以根据议价状态，项目名称，医疗机构等模块来查询和确认医院发起的议价信息。</w:t>
      </w:r>
    </w:p>
    <w:p w14:paraId="6205580C">
      <w:pPr>
        <w:jc w:val="both"/>
      </w:pPr>
      <w:r>
        <w:drawing>
          <wp:inline distT="0" distB="0" distL="114300" distR="114300">
            <wp:extent cx="5273040" cy="2265045"/>
            <wp:effectExtent l="0" t="0" r="10160" b="8255"/>
            <wp:docPr id="1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
                    <pic:cNvPicPr>
                      <a:picLocks noChangeAspect="1"/>
                    </pic:cNvPicPr>
                  </pic:nvPicPr>
                  <pic:blipFill>
                    <a:blip r:embed="rId7"/>
                    <a:stretch>
                      <a:fillRect/>
                    </a:stretch>
                  </pic:blipFill>
                  <pic:spPr>
                    <a:xfrm>
                      <a:off x="0" y="0"/>
                      <a:ext cx="5273040" cy="2265045"/>
                    </a:xfrm>
                    <a:prstGeom prst="rect">
                      <a:avLst/>
                    </a:prstGeom>
                    <a:noFill/>
                    <a:ln>
                      <a:noFill/>
                    </a:ln>
                  </pic:spPr>
                </pic:pic>
              </a:graphicData>
            </a:graphic>
          </wp:inline>
        </w:drawing>
      </w:r>
    </w:p>
    <w:p w14:paraId="07416C6C">
      <w:pPr>
        <w:pStyle w:val="2"/>
        <w:bidi w:val="0"/>
        <w:rPr>
          <w:rFonts w:hint="default"/>
          <w:sz w:val="28"/>
          <w:szCs w:val="28"/>
          <w:lang w:val="en-US" w:eastAsia="zh-CN"/>
        </w:rPr>
      </w:pPr>
      <w:bookmarkStart w:id="4" w:name="_Toc10601"/>
      <w:r>
        <w:rPr>
          <w:rFonts w:hint="eastAsia"/>
          <w:sz w:val="28"/>
          <w:szCs w:val="28"/>
          <w:lang w:val="en-US" w:eastAsia="zh-CN"/>
        </w:rPr>
        <w:t>3:发货管理</w:t>
      </w:r>
      <w:bookmarkEnd w:id="4"/>
    </w:p>
    <w:p w14:paraId="30B512B5">
      <w:pPr>
        <w:pStyle w:val="3"/>
        <w:bidi w:val="0"/>
        <w:rPr>
          <w:rFonts w:hint="eastAsia" w:asciiTheme="minorEastAsia" w:hAnsiTheme="minorEastAsia" w:eastAsiaTheme="minorEastAsia" w:cstheme="minorEastAsia"/>
          <w:sz w:val="28"/>
          <w:szCs w:val="28"/>
          <w:lang w:val="en-US" w:eastAsia="zh-CN"/>
        </w:rPr>
      </w:pPr>
      <w:bookmarkStart w:id="5" w:name="_Toc28611"/>
      <w:r>
        <w:rPr>
          <w:rFonts w:hint="eastAsia" w:asciiTheme="minorEastAsia" w:hAnsiTheme="minorEastAsia" w:eastAsiaTheme="minorEastAsia" w:cstheme="minorEastAsia"/>
          <w:sz w:val="28"/>
          <w:szCs w:val="28"/>
          <w:lang w:val="en-US" w:eastAsia="zh-CN"/>
        </w:rPr>
        <w:t>3.1按订单发货</w:t>
      </w:r>
      <w:bookmarkEnd w:id="5"/>
      <w:r>
        <w:rPr>
          <w:rFonts w:hint="eastAsia" w:asciiTheme="minorEastAsia" w:hAnsiTheme="minorEastAsia" w:eastAsiaTheme="minorEastAsia" w:cstheme="minorEastAsia"/>
          <w:sz w:val="28"/>
          <w:szCs w:val="28"/>
          <w:lang w:val="en-US" w:eastAsia="zh-CN"/>
        </w:rPr>
        <w:t xml:space="preserve"> </w:t>
      </w:r>
    </w:p>
    <w:p w14:paraId="549F4079">
      <w:pPr>
        <w:ind w:firstLine="560" w:firstLineChars="200"/>
        <w:jc w:val="both"/>
        <w:rPr>
          <w:rFonts w:hint="default"/>
          <w:sz w:val="28"/>
          <w:szCs w:val="28"/>
          <w:lang w:val="en-US" w:eastAsia="zh-CN"/>
        </w:rPr>
      </w:pPr>
      <w:r>
        <w:rPr>
          <w:rFonts w:hint="eastAsia"/>
          <w:sz w:val="28"/>
          <w:szCs w:val="28"/>
          <w:lang w:val="en-US" w:eastAsia="zh-CN"/>
        </w:rPr>
        <w:t>企业可以根据待发货和待补货来查询医疗机构订单的相关的产品信息情况。</w:t>
      </w:r>
    </w:p>
    <w:p w14:paraId="18D7A438">
      <w:pPr>
        <w:jc w:val="both"/>
      </w:pPr>
      <w:r>
        <w:drawing>
          <wp:inline distT="0" distB="0" distL="114300" distR="114300">
            <wp:extent cx="5266690" cy="1553845"/>
            <wp:effectExtent l="0" t="0" r="3810" b="825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8"/>
                    <a:stretch>
                      <a:fillRect/>
                    </a:stretch>
                  </pic:blipFill>
                  <pic:spPr>
                    <a:xfrm>
                      <a:off x="0" y="0"/>
                      <a:ext cx="5266690" cy="1553845"/>
                    </a:xfrm>
                    <a:prstGeom prst="rect">
                      <a:avLst/>
                    </a:prstGeom>
                    <a:noFill/>
                    <a:ln>
                      <a:noFill/>
                    </a:ln>
                  </pic:spPr>
                </pic:pic>
              </a:graphicData>
            </a:graphic>
          </wp:inline>
        </w:drawing>
      </w:r>
    </w:p>
    <w:p w14:paraId="1D4CC6E5">
      <w:pPr>
        <w:jc w:val="both"/>
      </w:pPr>
    </w:p>
    <w:p w14:paraId="16C67EAE">
      <w:pPr>
        <w:pStyle w:val="3"/>
        <w:bidi w:val="0"/>
        <w:rPr>
          <w:rFonts w:hint="eastAsia" w:asciiTheme="minorEastAsia" w:hAnsiTheme="minorEastAsia" w:eastAsiaTheme="minorEastAsia" w:cstheme="minorEastAsia"/>
          <w:sz w:val="28"/>
          <w:szCs w:val="28"/>
          <w:lang w:val="en-US" w:eastAsia="zh-CN"/>
        </w:rPr>
      </w:pPr>
      <w:bookmarkStart w:id="6" w:name="_Toc6198"/>
      <w:r>
        <w:rPr>
          <w:rFonts w:hint="eastAsia" w:asciiTheme="minorEastAsia" w:hAnsiTheme="minorEastAsia" w:eastAsiaTheme="minorEastAsia" w:cstheme="minorEastAsia"/>
          <w:sz w:val="28"/>
          <w:szCs w:val="28"/>
          <w:lang w:val="en-US" w:eastAsia="zh-CN"/>
        </w:rPr>
        <w:t>3.2按明细发货</w:t>
      </w:r>
      <w:bookmarkEnd w:id="6"/>
    </w:p>
    <w:p w14:paraId="19E28F16">
      <w:pPr>
        <w:jc w:val="both"/>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 xml:space="preserve">  可以根据订单编号，医疗机构，项目名称等来进行查询，也可以针对订单明细进行拆分和取消拆分，设置缺货和确认发货的操作。（</w:t>
      </w:r>
      <w:r>
        <w:rPr>
          <w:rFonts w:hint="eastAsia" w:asciiTheme="minorEastAsia" w:hAnsiTheme="minorEastAsia" w:cstheme="minorEastAsia"/>
          <w:color w:val="FF0000"/>
          <w:sz w:val="28"/>
          <w:szCs w:val="28"/>
          <w:lang w:val="en-US" w:eastAsia="zh-CN"/>
        </w:rPr>
        <w:t>注意：订单内的信息要填写完整才确认发货</w:t>
      </w:r>
      <w:r>
        <w:rPr>
          <w:rFonts w:hint="eastAsia" w:asciiTheme="minorEastAsia" w:hAnsiTheme="minorEastAsia" w:cstheme="minorEastAsia"/>
          <w:sz w:val="28"/>
          <w:szCs w:val="28"/>
          <w:lang w:val="en-US" w:eastAsia="zh-CN"/>
        </w:rPr>
        <w:t>）</w:t>
      </w:r>
    </w:p>
    <w:p w14:paraId="2010D92E">
      <w:pPr>
        <w:jc w:val="both"/>
      </w:pPr>
      <w:r>
        <w:drawing>
          <wp:inline distT="0" distB="0" distL="114300" distR="114300">
            <wp:extent cx="5267325" cy="2068195"/>
            <wp:effectExtent l="0" t="0" r="3175" b="1905"/>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6"/>
                    <pic:cNvPicPr>
                      <a:picLocks noChangeAspect="1"/>
                    </pic:cNvPicPr>
                  </pic:nvPicPr>
                  <pic:blipFill>
                    <a:blip r:embed="rId9"/>
                    <a:stretch>
                      <a:fillRect/>
                    </a:stretch>
                  </pic:blipFill>
                  <pic:spPr>
                    <a:xfrm>
                      <a:off x="0" y="0"/>
                      <a:ext cx="5267325" cy="2068195"/>
                    </a:xfrm>
                    <a:prstGeom prst="rect">
                      <a:avLst/>
                    </a:prstGeom>
                    <a:noFill/>
                    <a:ln>
                      <a:noFill/>
                    </a:ln>
                  </pic:spPr>
                </pic:pic>
              </a:graphicData>
            </a:graphic>
          </wp:inline>
        </w:drawing>
      </w:r>
    </w:p>
    <w:p w14:paraId="18972357">
      <w:pPr>
        <w:pStyle w:val="3"/>
        <w:bidi w:val="0"/>
        <w:rPr>
          <w:rFonts w:hint="eastAsia" w:asciiTheme="minorEastAsia" w:hAnsiTheme="minorEastAsia" w:eastAsiaTheme="minorEastAsia" w:cstheme="minorEastAsia"/>
          <w:sz w:val="28"/>
          <w:szCs w:val="28"/>
          <w:lang w:val="en-US" w:eastAsia="zh-CN"/>
        </w:rPr>
      </w:pPr>
      <w:bookmarkStart w:id="7" w:name="_Toc9412"/>
      <w:r>
        <w:rPr>
          <w:rFonts w:hint="eastAsia" w:asciiTheme="minorEastAsia" w:hAnsiTheme="minorEastAsia" w:eastAsiaTheme="minorEastAsia" w:cstheme="minorEastAsia"/>
          <w:sz w:val="28"/>
          <w:szCs w:val="28"/>
          <w:lang w:val="en-US" w:eastAsia="zh-CN"/>
        </w:rPr>
        <w:t>3.3发货订单管理</w:t>
      </w:r>
      <w:bookmarkEnd w:id="7"/>
    </w:p>
    <w:p w14:paraId="373C0BA1">
      <w:pPr>
        <w:ind w:firstLine="560" w:firstLineChars="200"/>
        <w:rPr>
          <w:rFonts w:hint="default"/>
          <w:sz w:val="28"/>
          <w:szCs w:val="28"/>
          <w:lang w:val="en-US" w:eastAsia="zh-CN"/>
        </w:rPr>
      </w:pPr>
      <w:r>
        <w:rPr>
          <w:rFonts w:hint="eastAsia"/>
          <w:sz w:val="28"/>
          <w:szCs w:val="28"/>
          <w:lang w:val="en-US" w:eastAsia="zh-CN"/>
        </w:rPr>
        <w:t>企业可以查看未完成和已完成的订单信息，可以根据医疗机构和发送时间来进行查询</w:t>
      </w:r>
    </w:p>
    <w:p w14:paraId="6946BD42">
      <w:pPr>
        <w:jc w:val="both"/>
      </w:pPr>
      <w:r>
        <w:drawing>
          <wp:inline distT="0" distB="0" distL="114300" distR="114300">
            <wp:extent cx="5269865" cy="1802130"/>
            <wp:effectExtent l="0" t="0" r="635" b="127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8"/>
                    <pic:cNvPicPr>
                      <a:picLocks noChangeAspect="1"/>
                    </pic:cNvPicPr>
                  </pic:nvPicPr>
                  <pic:blipFill>
                    <a:blip r:embed="rId10"/>
                    <a:stretch>
                      <a:fillRect/>
                    </a:stretch>
                  </pic:blipFill>
                  <pic:spPr>
                    <a:xfrm>
                      <a:off x="0" y="0"/>
                      <a:ext cx="5269865" cy="1802130"/>
                    </a:xfrm>
                    <a:prstGeom prst="rect">
                      <a:avLst/>
                    </a:prstGeom>
                    <a:noFill/>
                    <a:ln>
                      <a:noFill/>
                    </a:ln>
                  </pic:spPr>
                </pic:pic>
              </a:graphicData>
            </a:graphic>
          </wp:inline>
        </w:drawing>
      </w:r>
    </w:p>
    <w:p w14:paraId="74B541E9">
      <w:pPr>
        <w:jc w:val="both"/>
      </w:pPr>
    </w:p>
    <w:p w14:paraId="33A1C430">
      <w:pPr>
        <w:jc w:val="both"/>
      </w:pPr>
    </w:p>
    <w:p w14:paraId="5F3D5485">
      <w:pPr>
        <w:jc w:val="both"/>
      </w:pPr>
    </w:p>
    <w:p w14:paraId="68FA1C98">
      <w:pPr>
        <w:pStyle w:val="3"/>
        <w:bidi w:val="0"/>
        <w:rPr>
          <w:rFonts w:hint="eastAsia" w:asciiTheme="minorEastAsia" w:hAnsiTheme="minorEastAsia" w:eastAsiaTheme="minorEastAsia" w:cstheme="minorEastAsia"/>
          <w:sz w:val="28"/>
          <w:szCs w:val="28"/>
          <w:lang w:val="en-US" w:eastAsia="zh-CN"/>
        </w:rPr>
      </w:pPr>
      <w:bookmarkStart w:id="8" w:name="_Toc17432"/>
      <w:r>
        <w:rPr>
          <w:rFonts w:hint="eastAsia" w:asciiTheme="minorEastAsia" w:hAnsiTheme="minorEastAsia" w:eastAsiaTheme="minorEastAsia" w:cstheme="minorEastAsia"/>
          <w:sz w:val="28"/>
          <w:szCs w:val="28"/>
          <w:lang w:val="en-US" w:eastAsia="zh-CN"/>
        </w:rPr>
        <w:t>3.4订单明细跟踪</w:t>
      </w:r>
      <w:bookmarkEnd w:id="8"/>
    </w:p>
    <w:p w14:paraId="2C83B302">
      <w:pPr>
        <w:ind w:firstLine="560" w:firstLineChars="200"/>
        <w:jc w:val="both"/>
        <w:rPr>
          <w:rFonts w:hint="default"/>
          <w:sz w:val="28"/>
          <w:szCs w:val="28"/>
          <w:lang w:val="en-US" w:eastAsia="zh-CN"/>
        </w:rPr>
      </w:pPr>
      <w:r>
        <w:rPr>
          <w:rFonts w:hint="eastAsia"/>
          <w:sz w:val="28"/>
          <w:szCs w:val="28"/>
          <w:lang w:val="en-US" w:eastAsia="zh-CN"/>
        </w:rPr>
        <w:t>企业可以根据待发货，已发货，已收货，拒绝收货，缺货列表来查询相关的订单明细信息</w:t>
      </w:r>
    </w:p>
    <w:p w14:paraId="3B2C4BCA">
      <w:pPr>
        <w:jc w:val="both"/>
      </w:pPr>
      <w:r>
        <w:drawing>
          <wp:inline distT="0" distB="0" distL="114300" distR="114300">
            <wp:extent cx="5267325" cy="1767205"/>
            <wp:effectExtent l="0" t="0" r="3175" b="10795"/>
            <wp:docPr id="1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9"/>
                    <pic:cNvPicPr>
                      <a:picLocks noChangeAspect="1"/>
                    </pic:cNvPicPr>
                  </pic:nvPicPr>
                  <pic:blipFill>
                    <a:blip r:embed="rId11"/>
                    <a:stretch>
                      <a:fillRect/>
                    </a:stretch>
                  </pic:blipFill>
                  <pic:spPr>
                    <a:xfrm>
                      <a:off x="0" y="0"/>
                      <a:ext cx="5267325" cy="1767205"/>
                    </a:xfrm>
                    <a:prstGeom prst="rect">
                      <a:avLst/>
                    </a:prstGeom>
                    <a:noFill/>
                    <a:ln>
                      <a:noFill/>
                    </a:ln>
                  </pic:spPr>
                </pic:pic>
              </a:graphicData>
            </a:graphic>
          </wp:inline>
        </w:drawing>
      </w:r>
    </w:p>
    <w:p w14:paraId="1471E5D8">
      <w:pPr>
        <w:bidi w:val="0"/>
      </w:pPr>
    </w:p>
    <w:p w14:paraId="511C4D00">
      <w:pPr>
        <w:pStyle w:val="2"/>
        <w:bidi w:val="0"/>
        <w:rPr>
          <w:rFonts w:hint="eastAsia" w:asciiTheme="minorEastAsia" w:hAnsiTheme="minorEastAsia" w:eastAsiaTheme="minorEastAsia" w:cstheme="minorEastAsia"/>
          <w:sz w:val="28"/>
          <w:szCs w:val="28"/>
          <w:lang w:val="en-US" w:eastAsia="zh-CN"/>
        </w:rPr>
      </w:pPr>
      <w:bookmarkStart w:id="9" w:name="_Toc21267"/>
      <w:r>
        <w:rPr>
          <w:rFonts w:hint="eastAsia" w:asciiTheme="minorEastAsia" w:hAnsiTheme="minorEastAsia" w:eastAsiaTheme="minorEastAsia" w:cstheme="minorEastAsia"/>
          <w:sz w:val="28"/>
          <w:szCs w:val="28"/>
          <w:lang w:val="en-US" w:eastAsia="zh-CN"/>
        </w:rPr>
        <w:t>4:合同管理</w:t>
      </w:r>
      <w:bookmarkEnd w:id="9"/>
    </w:p>
    <w:p w14:paraId="454B9580">
      <w:pPr>
        <w:pStyle w:val="3"/>
        <w:bidi w:val="0"/>
        <w:rPr>
          <w:rFonts w:hint="eastAsia"/>
          <w:sz w:val="28"/>
          <w:szCs w:val="28"/>
          <w:lang w:val="en-US" w:eastAsia="zh-CN"/>
        </w:rPr>
      </w:pPr>
      <w:bookmarkStart w:id="10" w:name="_Toc27505"/>
      <w:r>
        <w:rPr>
          <w:rFonts w:hint="eastAsia" w:asciiTheme="minorEastAsia" w:hAnsiTheme="minorEastAsia" w:eastAsiaTheme="minorEastAsia" w:cstheme="minorEastAsia"/>
          <w:sz w:val="28"/>
          <w:szCs w:val="28"/>
          <w:lang w:val="en-US" w:eastAsia="zh-CN"/>
        </w:rPr>
        <w:t>4.1合同管理（配送）</w:t>
      </w:r>
      <w:bookmarkEnd w:id="10"/>
    </w:p>
    <w:p w14:paraId="2EE641AA">
      <w:pPr>
        <w:ind w:firstLine="560" w:firstLineChars="200"/>
        <w:rPr>
          <w:rFonts w:hint="default"/>
          <w:sz w:val="28"/>
          <w:szCs w:val="28"/>
          <w:lang w:val="en-US" w:eastAsia="zh-CN"/>
        </w:rPr>
      </w:pPr>
      <w:r>
        <w:rPr>
          <w:rFonts w:hint="eastAsia"/>
          <w:sz w:val="28"/>
          <w:szCs w:val="28"/>
          <w:lang w:val="en-US" w:eastAsia="zh-CN"/>
        </w:rPr>
        <w:t>可以根据医疗机构，配送企业，项目名称和签署状态查询合同的具体签署情况</w:t>
      </w:r>
    </w:p>
    <w:p w14:paraId="674E49AC">
      <w:r>
        <w:drawing>
          <wp:inline distT="0" distB="0" distL="114300" distR="114300">
            <wp:extent cx="5273040" cy="1625600"/>
            <wp:effectExtent l="0" t="0" r="10160" b="0"/>
            <wp:docPr id="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
                    <pic:cNvPicPr>
                      <a:picLocks noChangeAspect="1"/>
                    </pic:cNvPicPr>
                  </pic:nvPicPr>
                  <pic:blipFill>
                    <a:blip r:embed="rId12"/>
                    <a:stretch>
                      <a:fillRect/>
                    </a:stretch>
                  </pic:blipFill>
                  <pic:spPr>
                    <a:xfrm>
                      <a:off x="0" y="0"/>
                      <a:ext cx="5273040" cy="1625600"/>
                    </a:xfrm>
                    <a:prstGeom prst="rect">
                      <a:avLst/>
                    </a:prstGeom>
                    <a:noFill/>
                    <a:ln>
                      <a:noFill/>
                    </a:ln>
                  </pic:spPr>
                </pic:pic>
              </a:graphicData>
            </a:graphic>
          </wp:inline>
        </w:drawing>
      </w:r>
    </w:p>
    <w:p w14:paraId="13A4F8B2">
      <w:pPr>
        <w:pStyle w:val="3"/>
        <w:bidi w:val="0"/>
        <w:rPr>
          <w:rFonts w:hint="eastAsia" w:asciiTheme="minorEastAsia" w:hAnsiTheme="minorEastAsia" w:eastAsiaTheme="minorEastAsia" w:cstheme="minorEastAsia"/>
          <w:sz w:val="28"/>
          <w:szCs w:val="28"/>
          <w:lang w:val="en-US" w:eastAsia="zh-CN"/>
        </w:rPr>
      </w:pPr>
      <w:bookmarkStart w:id="11" w:name="_Toc28119"/>
      <w:r>
        <w:rPr>
          <w:rFonts w:hint="eastAsia" w:asciiTheme="minorEastAsia" w:hAnsiTheme="minorEastAsia" w:eastAsiaTheme="minorEastAsia" w:cstheme="minorEastAsia"/>
          <w:sz w:val="28"/>
          <w:szCs w:val="28"/>
          <w:lang w:val="en-US" w:eastAsia="zh-CN"/>
        </w:rPr>
        <w:t>4.2合同管理（生产）</w:t>
      </w:r>
      <w:bookmarkEnd w:id="11"/>
    </w:p>
    <w:p w14:paraId="13EFA6F6">
      <w:pPr>
        <w:ind w:firstLine="560" w:firstLineChars="200"/>
        <w:rPr>
          <w:rFonts w:hint="default"/>
          <w:sz w:val="28"/>
          <w:szCs w:val="28"/>
          <w:lang w:val="en-US" w:eastAsia="zh-CN"/>
        </w:rPr>
      </w:pPr>
      <w:r>
        <w:rPr>
          <w:rFonts w:hint="eastAsia"/>
          <w:sz w:val="28"/>
          <w:szCs w:val="28"/>
          <w:lang w:val="en-US" w:eastAsia="zh-CN"/>
        </w:rPr>
        <w:t>企业可以根据医疗机构，配送企业，项目名称和签署状态查询合同的具体签署情况</w:t>
      </w:r>
    </w:p>
    <w:p w14:paraId="569C3ABE">
      <w:pPr>
        <w:rPr>
          <w:rFonts w:hint="eastAsia"/>
          <w:lang w:val="en-US" w:eastAsia="zh-CN"/>
        </w:rPr>
      </w:pPr>
    </w:p>
    <w:p w14:paraId="0D0D45C2">
      <w:pPr>
        <w:rPr>
          <w:rFonts w:hint="eastAsia"/>
          <w:lang w:val="en-US" w:eastAsia="zh-CN"/>
        </w:rPr>
      </w:pPr>
    </w:p>
    <w:p w14:paraId="363054F7">
      <w:r>
        <w:drawing>
          <wp:inline distT="0" distB="0" distL="114300" distR="114300">
            <wp:extent cx="5264150" cy="1492250"/>
            <wp:effectExtent l="0" t="0" r="6350" b="6350"/>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1"/>
                    <pic:cNvPicPr>
                      <a:picLocks noChangeAspect="1"/>
                    </pic:cNvPicPr>
                  </pic:nvPicPr>
                  <pic:blipFill>
                    <a:blip r:embed="rId13"/>
                    <a:stretch>
                      <a:fillRect/>
                    </a:stretch>
                  </pic:blipFill>
                  <pic:spPr>
                    <a:xfrm>
                      <a:off x="0" y="0"/>
                      <a:ext cx="5264150" cy="1492250"/>
                    </a:xfrm>
                    <a:prstGeom prst="rect">
                      <a:avLst/>
                    </a:prstGeom>
                    <a:noFill/>
                    <a:ln>
                      <a:noFill/>
                    </a:ln>
                  </pic:spPr>
                </pic:pic>
              </a:graphicData>
            </a:graphic>
          </wp:inline>
        </w:drawing>
      </w:r>
    </w:p>
    <w:p w14:paraId="40BDAA3C">
      <w:pPr>
        <w:pStyle w:val="3"/>
        <w:bidi w:val="0"/>
        <w:rPr>
          <w:rFonts w:hint="eastAsia" w:ascii="宋体" w:hAnsi="宋体" w:eastAsia="宋体" w:cs="宋体"/>
          <w:sz w:val="28"/>
          <w:szCs w:val="28"/>
          <w:lang w:val="en-US" w:eastAsia="zh-CN"/>
        </w:rPr>
      </w:pPr>
      <w:bookmarkStart w:id="12" w:name="_Toc29140"/>
      <w:r>
        <w:rPr>
          <w:rFonts w:hint="eastAsia" w:ascii="宋体" w:hAnsi="宋体" w:eastAsia="宋体" w:cs="宋体"/>
          <w:sz w:val="28"/>
          <w:szCs w:val="28"/>
          <w:lang w:val="en-US" w:eastAsia="zh-CN"/>
        </w:rPr>
        <w:t>4.3约定采购量查看</w:t>
      </w:r>
      <w:bookmarkEnd w:id="12"/>
    </w:p>
    <w:p w14:paraId="1F0166ED">
      <w:pPr>
        <w:rPr>
          <w:rFonts w:hint="default"/>
          <w:lang w:val="en-US" w:eastAsia="zh-CN"/>
        </w:rPr>
      </w:pPr>
      <w:r>
        <w:rPr>
          <w:rFonts w:hint="eastAsia" w:ascii="宋体" w:hAnsi="宋体" w:eastAsia="宋体" w:cs="宋体"/>
          <w:sz w:val="28"/>
          <w:szCs w:val="28"/>
          <w:lang w:val="en-US" w:eastAsia="zh-CN"/>
        </w:rPr>
        <w:t xml:space="preserve">  企业可以根据项目名称等查询查看相应产品约定量信息。</w:t>
      </w:r>
    </w:p>
    <w:p w14:paraId="727075C6">
      <w:pPr>
        <w:rPr>
          <w:rFonts w:hint="default"/>
          <w:lang w:val="en-US" w:eastAsia="zh-CN"/>
        </w:rPr>
      </w:pPr>
      <w:r>
        <w:drawing>
          <wp:inline distT="0" distB="0" distL="114300" distR="114300">
            <wp:extent cx="5267325" cy="1497330"/>
            <wp:effectExtent l="0" t="0" r="3175" b="1270"/>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2"/>
                    <pic:cNvPicPr>
                      <a:picLocks noChangeAspect="1"/>
                    </pic:cNvPicPr>
                  </pic:nvPicPr>
                  <pic:blipFill>
                    <a:blip r:embed="rId14"/>
                    <a:stretch>
                      <a:fillRect/>
                    </a:stretch>
                  </pic:blipFill>
                  <pic:spPr>
                    <a:xfrm>
                      <a:off x="0" y="0"/>
                      <a:ext cx="5267325" cy="1497330"/>
                    </a:xfrm>
                    <a:prstGeom prst="rect">
                      <a:avLst/>
                    </a:prstGeom>
                    <a:noFill/>
                    <a:ln>
                      <a:noFill/>
                    </a:ln>
                  </pic:spPr>
                </pic:pic>
              </a:graphicData>
            </a:graphic>
          </wp:inline>
        </w:drawing>
      </w:r>
    </w:p>
    <w:p w14:paraId="62DD98DF">
      <w:pPr>
        <w:jc w:val="both"/>
        <w:rPr>
          <w:rFonts w:hint="default"/>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4775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D8168">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87D8168">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EyMDFhOTIzZWE5NzQ2NDhkZTE2M2ZkZTQxYzJiM2IifQ=="/>
  </w:docVars>
  <w:rsids>
    <w:rsidRoot w:val="9DDAF568"/>
    <w:rsid w:val="143A3266"/>
    <w:rsid w:val="1D6B500B"/>
    <w:rsid w:val="25606460"/>
    <w:rsid w:val="3BFF2F19"/>
    <w:rsid w:val="3FDDC60B"/>
    <w:rsid w:val="43BBB0B9"/>
    <w:rsid w:val="569125CB"/>
    <w:rsid w:val="5B618447"/>
    <w:rsid w:val="5FDFFA2E"/>
    <w:rsid w:val="67D9899C"/>
    <w:rsid w:val="6FFF297E"/>
    <w:rsid w:val="777D04FB"/>
    <w:rsid w:val="77FEEB26"/>
    <w:rsid w:val="7CFF7EC6"/>
    <w:rsid w:val="7E9AF8D0"/>
    <w:rsid w:val="7F1F4523"/>
    <w:rsid w:val="7FFFDE71"/>
    <w:rsid w:val="9DDAF568"/>
    <w:rsid w:val="BFE39821"/>
    <w:rsid w:val="D9FEEABE"/>
    <w:rsid w:val="DCEDE5EA"/>
    <w:rsid w:val="F6ED8782"/>
    <w:rsid w:val="F7AF5C38"/>
    <w:rsid w:val="F7B98F63"/>
    <w:rsid w:val="FEFFB78E"/>
    <w:rsid w:val="FFBA2E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customStyle="1" w:styleId="10">
    <w:name w:val="WPSOffice手动目录 1"/>
    <w:qFormat/>
    <w:uiPriority w:val="0"/>
    <w:pPr>
      <w:ind w:leftChars="0"/>
    </w:pPr>
    <w:rPr>
      <w:rFonts w:asciiTheme="minorHAnsi" w:hAnsiTheme="minorHAnsi" w:eastAsiaTheme="minorEastAsia" w:cstheme="minorBidi"/>
      <w:sz w:val="20"/>
      <w:szCs w:val="20"/>
    </w:rPr>
  </w:style>
  <w:style w:type="paragraph" w:customStyle="1" w:styleId="11">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584</Words>
  <Characters>633</Characters>
  <Lines>0</Lines>
  <Paragraphs>0</Paragraphs>
  <TotalTime>1</TotalTime>
  <ScaleCrop>false</ScaleCrop>
  <LinksUpToDate>false</LinksUpToDate>
  <CharactersWithSpaces>651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2024-05-15T01:48:00Z</dcterms:created>
  <dc:creator>八方影</dc:creator>
  <cp:lastModifiedBy>Administrator</cp:lastModifiedBy>
  <dcterms:modified xsi:type="dcterms:W3CDTF">2025-05-22T07:23:20Z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975ECC51FDA6FF27666B48661BD111D9_41</vt:lpwstr>
  </property>
  <property fmtid="{D5CDD505-2E9C-101B-9397-08002B2CF9AE}" pid="4" name="KSOTemplateDocerSaveRecord">
    <vt:lpwstr>eyJoZGlkIjoiYTY5NjExODg5YWRiNzk4OWQ4ZTkzM2FjYjJlNGZlZWQifQ==</vt:lpwstr>
  </property>
</Properties>
</file>